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7D5A" w:rsidRDefault="00E57D5A" w:rsidP="00E57D5A">
      <w:pPr>
        <w:spacing w:after="120"/>
        <w:ind w:firstLine="0"/>
        <w:jc w:val="center"/>
        <w:rPr>
          <w:rFonts w:ascii="黑体" w:eastAsia="黑体" w:hAnsi="宋体"/>
          <w:bCs/>
          <w:sz w:val="28"/>
          <w:szCs w:val="28"/>
        </w:rPr>
      </w:pPr>
      <w:r>
        <w:rPr>
          <w:rFonts w:ascii="黑体" w:eastAsia="黑体" w:hAnsi="宋体" w:hint="eastAsia"/>
          <w:bCs/>
          <w:sz w:val="28"/>
          <w:szCs w:val="28"/>
        </w:rPr>
        <w:t>广州农村商业银行</w:t>
      </w:r>
      <w:r w:rsidR="00DB361E">
        <w:rPr>
          <w:rFonts w:ascii="黑体" w:eastAsia="黑体" w:hAnsi="宋体" w:hint="eastAsia"/>
          <w:bCs/>
          <w:sz w:val="28"/>
          <w:szCs w:val="28"/>
        </w:rPr>
        <w:t>股份有限公司</w:t>
      </w:r>
      <w:r>
        <w:rPr>
          <w:rFonts w:ascii="黑体" w:eastAsia="黑体" w:hAnsi="宋体" w:hint="eastAsia"/>
          <w:bCs/>
          <w:sz w:val="28"/>
          <w:szCs w:val="28"/>
        </w:rPr>
        <w:t>理财产品</w:t>
      </w:r>
    </w:p>
    <w:p w:rsidR="00E57D5A" w:rsidRDefault="00BD656F" w:rsidP="00E57D5A">
      <w:pPr>
        <w:spacing w:after="120" w:line="276" w:lineRule="auto"/>
        <w:ind w:firstLineChars="150" w:firstLine="420"/>
        <w:jc w:val="center"/>
        <w:rPr>
          <w:rFonts w:ascii="黑体" w:eastAsia="黑体" w:hAnsi="宋体"/>
          <w:bCs/>
          <w:sz w:val="28"/>
          <w:szCs w:val="28"/>
        </w:rPr>
      </w:pPr>
      <w:r>
        <w:rPr>
          <w:rFonts w:ascii="黑体" w:eastAsia="黑体" w:hAnsi="宋体" w:hint="eastAsia"/>
          <w:bCs/>
          <w:sz w:val="28"/>
          <w:szCs w:val="28"/>
        </w:rPr>
        <w:t>客户</w:t>
      </w:r>
      <w:r w:rsidR="00E57D5A">
        <w:rPr>
          <w:rFonts w:ascii="黑体" w:eastAsia="黑体" w:hAnsi="宋体" w:hint="eastAsia"/>
          <w:bCs/>
          <w:sz w:val="28"/>
          <w:szCs w:val="28"/>
        </w:rPr>
        <w:t>权益须知</w:t>
      </w:r>
    </w:p>
    <w:p w:rsidR="00E57D5A" w:rsidRDefault="00E57D5A" w:rsidP="00E57D5A">
      <w:pPr>
        <w:pStyle w:val="a4"/>
        <w:spacing w:line="276" w:lineRule="auto"/>
        <w:rPr>
          <w:rFonts w:ascii="宋体" w:eastAsia="宋体" w:hAnsi="宋体"/>
          <w:bCs w:val="0"/>
          <w:color w:val="auto"/>
          <w:sz w:val="24"/>
          <w:szCs w:val="24"/>
        </w:rPr>
      </w:pPr>
      <w:r>
        <w:rPr>
          <w:rFonts w:ascii="宋体" w:hAnsi="宋体" w:hint="eastAsia"/>
          <w:b/>
          <w:bCs w:val="0"/>
          <w:color w:val="auto"/>
          <w:sz w:val="24"/>
          <w:szCs w:val="24"/>
        </w:rPr>
        <w:t>尊敬的客户：</w:t>
      </w:r>
    </w:p>
    <w:p w:rsidR="00E57D5A" w:rsidRDefault="00E57D5A" w:rsidP="00E57D5A">
      <w:pPr>
        <w:pStyle w:val="a4"/>
        <w:spacing w:line="276" w:lineRule="auto"/>
        <w:ind w:firstLineChars="200" w:firstLine="482"/>
        <w:rPr>
          <w:rFonts w:ascii="宋体" w:hAnsi="宋体"/>
          <w:b/>
          <w:bCs w:val="0"/>
          <w:color w:val="auto"/>
          <w:sz w:val="24"/>
          <w:szCs w:val="24"/>
        </w:rPr>
      </w:pPr>
      <w:r>
        <w:rPr>
          <w:rFonts w:ascii="宋体" w:hAnsi="宋体" w:hint="eastAsia"/>
          <w:b/>
          <w:bCs w:val="0"/>
          <w:color w:val="auto"/>
          <w:sz w:val="24"/>
          <w:szCs w:val="24"/>
        </w:rPr>
        <w:t>理财非存款、产品有风险、投资须谨慎。为了保护</w:t>
      </w:r>
      <w:bookmarkStart w:id="0" w:name="_GoBack"/>
      <w:bookmarkEnd w:id="0"/>
      <w:r>
        <w:rPr>
          <w:rFonts w:ascii="宋体" w:hAnsi="宋体" w:hint="eastAsia"/>
          <w:b/>
          <w:bCs w:val="0"/>
          <w:color w:val="auto"/>
          <w:sz w:val="24"/>
          <w:szCs w:val="24"/>
        </w:rPr>
        <w:t>您的合法权益，请在投资前认真阅读以下内容：</w:t>
      </w:r>
    </w:p>
    <w:p w:rsidR="00E57D5A" w:rsidRDefault="00E57D5A" w:rsidP="00E57D5A">
      <w:pPr>
        <w:pStyle w:val="a4"/>
        <w:spacing w:line="276" w:lineRule="auto"/>
        <w:outlineLvl w:val="0"/>
        <w:rPr>
          <w:rFonts w:hAnsi="宋体"/>
          <w:b/>
          <w:bCs w:val="0"/>
          <w:color w:val="auto"/>
          <w:sz w:val="28"/>
          <w:szCs w:val="28"/>
        </w:rPr>
      </w:pPr>
      <w:r>
        <w:rPr>
          <w:rFonts w:hAnsi="宋体" w:hint="eastAsia"/>
          <w:b/>
          <w:bCs w:val="0"/>
          <w:color w:val="auto"/>
          <w:sz w:val="28"/>
          <w:szCs w:val="28"/>
        </w:rPr>
        <w:t>一、客户购买产品流程</w:t>
      </w:r>
    </w:p>
    <w:p w:rsidR="00E57D5A" w:rsidRDefault="00E57D5A" w:rsidP="00E57D5A">
      <w:pPr>
        <w:spacing w:line="276" w:lineRule="auto"/>
        <w:ind w:firstLineChars="150" w:firstLine="360"/>
        <w:rPr>
          <w:rFonts w:ascii="宋体" w:hAnsi="宋体"/>
          <w:sz w:val="24"/>
          <w:szCs w:val="24"/>
        </w:rPr>
      </w:pPr>
      <w:r>
        <w:rPr>
          <w:rFonts w:ascii="宋体" w:hAnsi="宋体" w:hint="eastAsia"/>
          <w:sz w:val="24"/>
        </w:rPr>
        <w:t>（一）提供资料清单</w:t>
      </w:r>
    </w:p>
    <w:p w:rsidR="00E57D5A" w:rsidRDefault="00E57D5A" w:rsidP="00E57D5A">
      <w:pPr>
        <w:spacing w:line="276" w:lineRule="auto"/>
        <w:ind w:firstLineChars="150" w:firstLine="360"/>
        <w:rPr>
          <w:rFonts w:ascii="宋体" w:hAnsi="宋体"/>
          <w:sz w:val="24"/>
        </w:rPr>
      </w:pPr>
      <w:r>
        <w:rPr>
          <w:rFonts w:ascii="宋体" w:hAnsi="宋体" w:hint="eastAsia"/>
          <w:sz w:val="24"/>
        </w:rPr>
        <w:t>1、本人有效身份证件</w:t>
      </w:r>
    </w:p>
    <w:p w:rsidR="00E57D5A" w:rsidRDefault="00E57D5A" w:rsidP="00E57D5A">
      <w:pPr>
        <w:spacing w:line="276" w:lineRule="auto"/>
        <w:ind w:firstLineChars="150" w:firstLine="360"/>
        <w:rPr>
          <w:rFonts w:ascii="宋体" w:hAnsi="宋体"/>
          <w:sz w:val="24"/>
        </w:rPr>
      </w:pPr>
      <w:r>
        <w:rPr>
          <w:rFonts w:ascii="宋体" w:hAnsi="宋体" w:hint="eastAsia"/>
          <w:sz w:val="24"/>
        </w:rPr>
        <w:t>2、本人在广州农村商业银行网点</w:t>
      </w:r>
      <w:r w:rsidR="00133BC2">
        <w:rPr>
          <w:rFonts w:ascii="宋体" w:hAnsi="宋体" w:hint="eastAsia"/>
          <w:sz w:val="24"/>
        </w:rPr>
        <w:t>或</w:t>
      </w:r>
      <w:r w:rsidR="00815F23">
        <w:rPr>
          <w:rFonts w:ascii="宋体" w:hAnsi="宋体" w:hint="eastAsia"/>
          <w:sz w:val="24"/>
        </w:rPr>
        <w:t>代销银行网点</w:t>
      </w:r>
      <w:r>
        <w:rPr>
          <w:rFonts w:ascii="宋体" w:hAnsi="宋体" w:hint="eastAsia"/>
          <w:sz w:val="24"/>
        </w:rPr>
        <w:t>开立的结算账户</w:t>
      </w:r>
      <w:r w:rsidR="00815F23">
        <w:rPr>
          <w:rFonts w:ascii="宋体" w:hAnsi="宋体" w:hint="eastAsia"/>
          <w:sz w:val="24"/>
        </w:rPr>
        <w:t>。</w:t>
      </w:r>
    </w:p>
    <w:p w:rsidR="00E57D5A" w:rsidRDefault="00E57D5A" w:rsidP="00E57D5A">
      <w:pPr>
        <w:spacing w:line="276" w:lineRule="auto"/>
        <w:ind w:firstLineChars="150" w:firstLine="360"/>
        <w:rPr>
          <w:rFonts w:ascii="宋体" w:hAnsi="宋体"/>
          <w:sz w:val="24"/>
        </w:rPr>
      </w:pPr>
      <w:r>
        <w:rPr>
          <w:rFonts w:ascii="宋体" w:hAnsi="宋体" w:hint="eastAsia"/>
          <w:sz w:val="24"/>
        </w:rPr>
        <w:t>（二）进行风险承受能力评估</w:t>
      </w:r>
    </w:p>
    <w:p w:rsidR="00E57D5A" w:rsidRDefault="00E57D5A" w:rsidP="00E57D5A">
      <w:pPr>
        <w:spacing w:line="276" w:lineRule="auto"/>
        <w:ind w:firstLineChars="150" w:firstLine="360"/>
        <w:rPr>
          <w:rFonts w:ascii="宋体" w:hAnsi="宋体"/>
          <w:sz w:val="24"/>
        </w:rPr>
      </w:pPr>
      <w:r>
        <w:rPr>
          <w:rFonts w:ascii="宋体" w:hAnsi="宋体" w:hint="eastAsia"/>
          <w:sz w:val="24"/>
        </w:rPr>
        <w:t>1、客户在购买本理财产品之前，应进行风险承受能力评估，填写《</w:t>
      </w:r>
      <w:r w:rsidR="00A51EA3">
        <w:rPr>
          <w:rFonts w:ascii="宋体" w:hAnsi="宋体" w:hint="eastAsia"/>
          <w:sz w:val="24"/>
        </w:rPr>
        <w:t>风险评估问卷</w:t>
      </w:r>
      <w:r>
        <w:rPr>
          <w:rFonts w:ascii="宋体" w:hAnsi="宋体" w:hint="eastAsia"/>
          <w:sz w:val="24"/>
        </w:rPr>
        <w:t>》，未进行风险承受能力评估的客户不得购买本理财产品。</w:t>
      </w:r>
    </w:p>
    <w:p w:rsidR="00E57D5A" w:rsidRDefault="00E57D5A" w:rsidP="00E57D5A">
      <w:pPr>
        <w:spacing w:line="276" w:lineRule="auto"/>
        <w:ind w:firstLineChars="150" w:firstLine="360"/>
        <w:rPr>
          <w:rFonts w:ascii="宋体" w:hAnsi="宋体"/>
          <w:sz w:val="24"/>
        </w:rPr>
      </w:pPr>
      <w:r>
        <w:rPr>
          <w:rFonts w:ascii="宋体" w:hAnsi="宋体" w:hint="eastAsia"/>
          <w:sz w:val="24"/>
        </w:rPr>
        <w:t xml:space="preserve">2、首次购买理财产品的所有客户需要进行风险承受能力评估；超过一年未进行风险承受能力评估或发生可能影响自身风险承受能力情况的客户，再次购买理财产品时，应重新进行风险承受能力评估，并签名确认评估结果。 </w:t>
      </w:r>
    </w:p>
    <w:p w:rsidR="00E57D5A" w:rsidRDefault="00E57D5A" w:rsidP="00E57D5A">
      <w:pPr>
        <w:spacing w:line="276" w:lineRule="auto"/>
        <w:ind w:firstLineChars="150" w:firstLine="360"/>
        <w:rPr>
          <w:rFonts w:ascii="宋体" w:hAnsi="宋体"/>
          <w:sz w:val="24"/>
        </w:rPr>
      </w:pPr>
      <w:r>
        <w:rPr>
          <w:rFonts w:ascii="宋体" w:hAnsi="宋体" w:hint="eastAsia"/>
          <w:sz w:val="24"/>
        </w:rPr>
        <w:t>（三）填写产品风险揭示书</w:t>
      </w:r>
    </w:p>
    <w:p w:rsidR="00E57D5A" w:rsidRDefault="00E57D5A" w:rsidP="00E57D5A">
      <w:pPr>
        <w:spacing w:line="276" w:lineRule="auto"/>
        <w:ind w:firstLineChars="150" w:firstLine="360"/>
        <w:rPr>
          <w:rFonts w:ascii="宋体" w:hAnsi="宋体"/>
          <w:sz w:val="24"/>
        </w:rPr>
      </w:pPr>
      <w:r>
        <w:rPr>
          <w:rFonts w:ascii="宋体" w:hAnsi="宋体" w:hint="eastAsia"/>
          <w:sz w:val="24"/>
        </w:rPr>
        <w:t>进行产品适合度评估后，客户需要认真阅读《</w:t>
      </w:r>
      <w:r w:rsidR="0044278E">
        <w:rPr>
          <w:rFonts w:ascii="宋体" w:hAnsi="宋体" w:hint="eastAsia"/>
          <w:sz w:val="24"/>
        </w:rPr>
        <w:t>理财产品风险揭示书》，个人客户亲自抄写“</w:t>
      </w:r>
      <w:r w:rsidR="00F93ADF" w:rsidRPr="00F93ADF">
        <w:rPr>
          <w:rFonts w:ascii="宋体" w:hAnsi="宋体" w:hint="eastAsia"/>
          <w:sz w:val="24"/>
        </w:rPr>
        <w:t>本人已经阅读风险提示，愿意承担投资风险。</w:t>
      </w:r>
      <w:r>
        <w:rPr>
          <w:rFonts w:ascii="宋体" w:hAnsi="宋体" w:hint="eastAsia"/>
          <w:sz w:val="24"/>
        </w:rPr>
        <w:t>”并签名确认。</w:t>
      </w:r>
    </w:p>
    <w:p w:rsidR="00E57D5A" w:rsidRDefault="00E57D5A" w:rsidP="00E57D5A">
      <w:pPr>
        <w:spacing w:line="276" w:lineRule="auto"/>
        <w:ind w:firstLineChars="150" w:firstLine="360"/>
        <w:rPr>
          <w:rFonts w:ascii="宋体" w:hAnsi="宋体"/>
          <w:sz w:val="24"/>
        </w:rPr>
      </w:pPr>
      <w:r>
        <w:rPr>
          <w:rFonts w:ascii="宋体" w:hAnsi="宋体" w:hint="eastAsia"/>
          <w:sz w:val="24"/>
        </w:rPr>
        <w:t>（</w:t>
      </w:r>
      <w:r w:rsidR="00F93ADF">
        <w:rPr>
          <w:rFonts w:ascii="宋体" w:hAnsi="宋体" w:hint="eastAsia"/>
          <w:sz w:val="24"/>
        </w:rPr>
        <w:t>四</w:t>
      </w:r>
      <w:r>
        <w:rPr>
          <w:rFonts w:ascii="宋体" w:hAnsi="宋体" w:hint="eastAsia"/>
          <w:sz w:val="24"/>
        </w:rPr>
        <w:t>）理财产品销售系统操作</w:t>
      </w:r>
    </w:p>
    <w:p w:rsidR="00E57D5A" w:rsidRDefault="00E57D5A" w:rsidP="00E57D5A">
      <w:pPr>
        <w:spacing w:line="276" w:lineRule="auto"/>
        <w:ind w:firstLineChars="150" w:firstLine="360"/>
        <w:rPr>
          <w:rFonts w:ascii="宋体" w:hAnsi="宋体"/>
          <w:sz w:val="24"/>
        </w:rPr>
      </w:pPr>
      <w:r>
        <w:rPr>
          <w:rFonts w:ascii="宋体" w:hAnsi="宋体" w:hint="eastAsia"/>
          <w:sz w:val="24"/>
        </w:rPr>
        <w:t>产品募集期内，客户可在广州农村商业银行</w:t>
      </w:r>
      <w:r w:rsidR="00815F23">
        <w:rPr>
          <w:rFonts w:ascii="宋体" w:hAnsi="宋体" w:hint="eastAsia"/>
          <w:sz w:val="24"/>
        </w:rPr>
        <w:t>代销银行</w:t>
      </w:r>
      <w:r>
        <w:rPr>
          <w:rFonts w:ascii="宋体" w:hAnsi="宋体" w:hint="eastAsia"/>
          <w:sz w:val="24"/>
        </w:rPr>
        <w:t>网点签约投资本理财产品，设置理财签约账户。客户办理理财产品认购</w:t>
      </w:r>
      <w:r w:rsidR="0044278E">
        <w:rPr>
          <w:rFonts w:ascii="宋体" w:hAnsi="宋体" w:hint="eastAsia"/>
          <w:sz w:val="24"/>
        </w:rPr>
        <w:t>/申购</w:t>
      </w:r>
      <w:r>
        <w:rPr>
          <w:rFonts w:ascii="宋体" w:hAnsi="宋体" w:hint="eastAsia"/>
          <w:sz w:val="24"/>
        </w:rPr>
        <w:t>时，账户内须备有足额认购</w:t>
      </w:r>
      <w:r w:rsidR="0044278E">
        <w:rPr>
          <w:rFonts w:ascii="宋体" w:hAnsi="宋体" w:hint="eastAsia"/>
          <w:sz w:val="24"/>
        </w:rPr>
        <w:t>/申购</w:t>
      </w:r>
      <w:r>
        <w:rPr>
          <w:rFonts w:ascii="宋体" w:hAnsi="宋体" w:hint="eastAsia"/>
          <w:sz w:val="24"/>
        </w:rPr>
        <w:t>款。理财签约账户内的认购</w:t>
      </w:r>
      <w:r w:rsidR="00F93ADF">
        <w:rPr>
          <w:rFonts w:ascii="宋体" w:hAnsi="宋体" w:hint="eastAsia"/>
          <w:sz w:val="24"/>
        </w:rPr>
        <w:t>/申购</w:t>
      </w:r>
      <w:r>
        <w:rPr>
          <w:rFonts w:ascii="宋体" w:hAnsi="宋体" w:hint="eastAsia"/>
          <w:sz w:val="24"/>
        </w:rPr>
        <w:t>资金从签约当日开始冻结，从投资期起始日开始参与本理财产品的投资运作。</w:t>
      </w:r>
    </w:p>
    <w:p w:rsidR="00E57D5A" w:rsidRDefault="00E57D5A" w:rsidP="00E57D5A">
      <w:pPr>
        <w:spacing w:line="276" w:lineRule="auto"/>
        <w:ind w:firstLineChars="150" w:firstLine="360"/>
        <w:rPr>
          <w:rFonts w:ascii="宋体" w:hAnsi="宋体"/>
          <w:sz w:val="24"/>
        </w:rPr>
      </w:pPr>
      <w:r>
        <w:rPr>
          <w:rFonts w:ascii="宋体" w:hAnsi="宋体" w:hint="eastAsia"/>
          <w:sz w:val="24"/>
        </w:rPr>
        <w:t>（</w:t>
      </w:r>
      <w:r w:rsidR="00F93ADF">
        <w:rPr>
          <w:rFonts w:ascii="宋体" w:hAnsi="宋体" w:hint="eastAsia"/>
          <w:sz w:val="24"/>
        </w:rPr>
        <w:t>五</w:t>
      </w:r>
      <w:r>
        <w:rPr>
          <w:rFonts w:ascii="宋体" w:hAnsi="宋体" w:hint="eastAsia"/>
          <w:sz w:val="24"/>
        </w:rPr>
        <w:t>）理财产品到期</w:t>
      </w:r>
    </w:p>
    <w:p w:rsidR="00E57D5A" w:rsidRDefault="00E57D5A" w:rsidP="00E57D5A">
      <w:pPr>
        <w:spacing w:line="276" w:lineRule="auto"/>
        <w:ind w:firstLineChars="150" w:firstLine="360"/>
        <w:rPr>
          <w:rFonts w:ascii="宋体" w:hAnsi="宋体"/>
          <w:sz w:val="24"/>
        </w:rPr>
      </w:pPr>
      <w:r>
        <w:rPr>
          <w:rFonts w:ascii="宋体" w:hAnsi="宋体" w:hint="eastAsia"/>
          <w:sz w:val="24"/>
        </w:rPr>
        <w:t>理财产品投资期到期日后5个工作日（T+5）内，本金及收益全部兑付至客户签约账户。</w:t>
      </w:r>
    </w:p>
    <w:p w:rsidR="00E57D5A" w:rsidRDefault="00E57D5A" w:rsidP="00E57D5A">
      <w:pPr>
        <w:spacing w:line="276" w:lineRule="auto"/>
        <w:ind w:firstLineChars="150" w:firstLine="360"/>
        <w:rPr>
          <w:rFonts w:ascii="宋体" w:hAnsi="宋体"/>
          <w:sz w:val="24"/>
        </w:rPr>
      </w:pPr>
      <w:r>
        <w:rPr>
          <w:rFonts w:ascii="宋体" w:hAnsi="宋体" w:hint="eastAsia"/>
          <w:sz w:val="24"/>
        </w:rPr>
        <w:t>如本理财产品遇广州农村商业银行提前终止，则客户投资本金及收益在提前终止日后的3个工作日内兑付。</w:t>
      </w:r>
    </w:p>
    <w:p w:rsidR="00E57D5A" w:rsidRDefault="00E57D5A" w:rsidP="00E57D5A">
      <w:pPr>
        <w:pStyle w:val="a4"/>
        <w:spacing w:line="276" w:lineRule="auto"/>
        <w:outlineLvl w:val="0"/>
        <w:rPr>
          <w:rFonts w:hAnsi="宋体"/>
          <w:color w:val="auto"/>
          <w:sz w:val="28"/>
          <w:szCs w:val="28"/>
        </w:rPr>
      </w:pPr>
      <w:r>
        <w:rPr>
          <w:rFonts w:hAnsi="宋体" w:hint="eastAsia"/>
          <w:b/>
          <w:bCs w:val="0"/>
          <w:color w:val="auto"/>
          <w:sz w:val="28"/>
          <w:szCs w:val="28"/>
        </w:rPr>
        <w:t>二、风险承受能力评估流程及产品风险评级</w:t>
      </w:r>
    </w:p>
    <w:p w:rsidR="00E57D5A" w:rsidRDefault="00E57D5A" w:rsidP="00E57D5A">
      <w:pPr>
        <w:spacing w:line="276" w:lineRule="auto"/>
        <w:ind w:firstLineChars="150" w:firstLine="360"/>
        <w:outlineLvl w:val="0"/>
        <w:rPr>
          <w:rFonts w:ascii="宋体" w:hAnsi="宋体"/>
          <w:sz w:val="24"/>
          <w:szCs w:val="24"/>
        </w:rPr>
      </w:pPr>
      <w:r>
        <w:rPr>
          <w:rFonts w:ascii="宋体" w:hAnsi="宋体" w:hint="eastAsia"/>
          <w:sz w:val="24"/>
        </w:rPr>
        <w:t>（一）风险能力评估</w:t>
      </w:r>
    </w:p>
    <w:p w:rsidR="00E57D5A" w:rsidRDefault="00E57D5A" w:rsidP="00E57D5A">
      <w:pPr>
        <w:spacing w:line="276" w:lineRule="auto"/>
        <w:ind w:firstLineChars="150" w:firstLine="360"/>
        <w:rPr>
          <w:rFonts w:ascii="宋体" w:hAnsi="宋体"/>
          <w:sz w:val="24"/>
        </w:rPr>
      </w:pPr>
      <w:r>
        <w:rPr>
          <w:rFonts w:ascii="宋体" w:hAnsi="宋体" w:hint="eastAsia"/>
          <w:sz w:val="24"/>
        </w:rPr>
        <w:t>客户需要填写《</w:t>
      </w:r>
      <w:r w:rsidR="00F93ADF">
        <w:rPr>
          <w:rFonts w:ascii="宋体" w:hAnsi="宋体" w:hint="eastAsia"/>
          <w:sz w:val="24"/>
        </w:rPr>
        <w:t>风险评估问卷</w:t>
      </w:r>
      <w:r>
        <w:rPr>
          <w:rFonts w:ascii="宋体" w:hAnsi="宋体" w:hint="eastAsia"/>
          <w:sz w:val="24"/>
        </w:rPr>
        <w:t>》，根据风险评估测试结果，客户只能购买风险评级等于或低于其风险承受能力评级的理财产品。具体评定结果及评估流程如下：</w:t>
      </w:r>
    </w:p>
    <w:p w:rsidR="00E57D5A" w:rsidRDefault="00E57D5A" w:rsidP="00E57D5A">
      <w:pPr>
        <w:spacing w:line="276" w:lineRule="auto"/>
        <w:ind w:firstLineChars="150" w:firstLine="360"/>
        <w:rPr>
          <w:rFonts w:ascii="宋体" w:hAnsi="宋体"/>
          <w:sz w:val="24"/>
        </w:rPr>
      </w:pPr>
      <w:r>
        <w:rPr>
          <w:rFonts w:ascii="宋体" w:hAnsi="宋体" w:hint="eastAsia"/>
          <w:sz w:val="24"/>
        </w:rPr>
        <w:t>1</w:t>
      </w:r>
      <w:r w:rsidR="000C1B75">
        <w:rPr>
          <w:rFonts w:ascii="宋体" w:hAnsi="宋体" w:hint="eastAsia"/>
          <w:sz w:val="24"/>
        </w:rPr>
        <w:t>、客户购买理财产品前，应由</w:t>
      </w:r>
      <w:r w:rsidR="000C1B75">
        <w:rPr>
          <w:rFonts w:ascii="宋体" w:hAnsi="宋体" w:hint="eastAsia"/>
          <w:sz w:val="24"/>
          <w:szCs w:val="24"/>
        </w:rPr>
        <w:t>代销银行</w:t>
      </w:r>
      <w:r>
        <w:rPr>
          <w:rFonts w:ascii="宋体" w:hAnsi="宋体" w:hint="eastAsia"/>
          <w:sz w:val="24"/>
        </w:rPr>
        <w:t>理财销售人员确认客户是否已在</w:t>
      </w:r>
      <w:r w:rsidR="00815F23">
        <w:rPr>
          <w:rFonts w:ascii="宋体" w:hAnsi="宋体" w:hint="eastAsia"/>
          <w:sz w:val="24"/>
        </w:rPr>
        <w:t>代销银行</w:t>
      </w:r>
      <w:r>
        <w:rPr>
          <w:rFonts w:ascii="宋体" w:hAnsi="宋体" w:hint="eastAsia"/>
          <w:sz w:val="24"/>
        </w:rPr>
        <w:t>进行风险承受能力评估并签署客户风险评估问卷。</w:t>
      </w:r>
    </w:p>
    <w:p w:rsidR="00E57D5A" w:rsidRDefault="00E57D5A" w:rsidP="00E57D5A">
      <w:pPr>
        <w:spacing w:line="276" w:lineRule="auto"/>
        <w:ind w:firstLineChars="150" w:firstLine="360"/>
        <w:rPr>
          <w:rFonts w:ascii="宋体" w:hAnsi="宋体"/>
          <w:sz w:val="24"/>
        </w:rPr>
      </w:pPr>
      <w:r>
        <w:rPr>
          <w:rFonts w:ascii="宋体" w:hAnsi="宋体" w:hint="eastAsia"/>
          <w:sz w:val="24"/>
        </w:rPr>
        <w:lastRenderedPageBreak/>
        <w:t>尚未在</w:t>
      </w:r>
      <w:r w:rsidR="00815F23">
        <w:rPr>
          <w:rFonts w:ascii="宋体" w:hAnsi="宋体" w:hint="eastAsia"/>
          <w:sz w:val="24"/>
        </w:rPr>
        <w:t>代销银行</w:t>
      </w:r>
      <w:r w:rsidR="000C1B75">
        <w:rPr>
          <w:rFonts w:ascii="宋体" w:hAnsi="宋体" w:hint="eastAsia"/>
          <w:sz w:val="24"/>
        </w:rPr>
        <w:t>进行风险承受能力评估的客户，在</w:t>
      </w:r>
      <w:r w:rsidR="00815F23">
        <w:rPr>
          <w:rFonts w:ascii="宋体" w:hAnsi="宋体" w:hint="eastAsia"/>
          <w:sz w:val="24"/>
        </w:rPr>
        <w:t>代销银行</w:t>
      </w:r>
      <w:r>
        <w:rPr>
          <w:rFonts w:ascii="宋体" w:hAnsi="宋体" w:hint="eastAsia"/>
          <w:sz w:val="24"/>
        </w:rPr>
        <w:t>网点由</w:t>
      </w:r>
      <w:r w:rsidR="000C1B75">
        <w:rPr>
          <w:rFonts w:ascii="宋体" w:hAnsi="宋体" w:hint="eastAsia"/>
          <w:sz w:val="24"/>
          <w:szCs w:val="24"/>
        </w:rPr>
        <w:t>代销银行</w:t>
      </w:r>
      <w:r w:rsidR="000C1B75">
        <w:rPr>
          <w:rFonts w:ascii="宋体" w:hAnsi="宋体" w:hint="eastAsia"/>
          <w:sz w:val="24"/>
        </w:rPr>
        <w:t>理财销售人员向客户介绍</w:t>
      </w:r>
      <w:r>
        <w:rPr>
          <w:rFonts w:ascii="宋体" w:hAnsi="宋体" w:hint="eastAsia"/>
          <w:sz w:val="24"/>
        </w:rPr>
        <w:t>风险承受能力评估的基本知识和流程，清晰准确地向客户解释评估问卷问题的含义，指导客户独立完成评估问卷。由</w:t>
      </w:r>
      <w:r w:rsidR="00815F23">
        <w:rPr>
          <w:rFonts w:ascii="宋体" w:hAnsi="宋体" w:hint="eastAsia"/>
          <w:sz w:val="24"/>
        </w:rPr>
        <w:t>代销银行</w:t>
      </w:r>
      <w:r>
        <w:rPr>
          <w:rFonts w:ascii="宋体" w:hAnsi="宋体" w:hint="eastAsia"/>
          <w:sz w:val="24"/>
        </w:rPr>
        <w:t>理财销售人员按照问卷评分结果计算客户所属类型，告知客户，并由客户在评估问卷上签名确认评估结果。</w:t>
      </w:r>
    </w:p>
    <w:p w:rsidR="00E57D5A" w:rsidRDefault="00E57D5A" w:rsidP="00E57D5A">
      <w:pPr>
        <w:spacing w:line="276" w:lineRule="auto"/>
        <w:ind w:firstLineChars="150" w:firstLine="360"/>
        <w:rPr>
          <w:rFonts w:ascii="宋体" w:hAnsi="宋体"/>
          <w:sz w:val="24"/>
        </w:rPr>
      </w:pPr>
      <w:r>
        <w:rPr>
          <w:rFonts w:ascii="宋体" w:hAnsi="宋体" w:hint="eastAsia"/>
          <w:sz w:val="24"/>
        </w:rPr>
        <w:t>2、已在</w:t>
      </w:r>
      <w:r w:rsidR="00815F23">
        <w:rPr>
          <w:rFonts w:ascii="宋体" w:hAnsi="宋体" w:hint="eastAsia"/>
          <w:sz w:val="24"/>
        </w:rPr>
        <w:t>代销银行</w:t>
      </w:r>
      <w:r w:rsidR="00707922">
        <w:rPr>
          <w:rFonts w:ascii="宋体" w:hAnsi="宋体" w:hint="eastAsia"/>
          <w:sz w:val="24"/>
        </w:rPr>
        <w:t>网点</w:t>
      </w:r>
      <w:r>
        <w:rPr>
          <w:rFonts w:ascii="宋体" w:hAnsi="宋体" w:hint="eastAsia"/>
          <w:sz w:val="24"/>
        </w:rPr>
        <w:t>进行风险承受能力评估但评估日期距当前超过一年的客户，客户应重新进行风险承受能力评估。</w:t>
      </w:r>
    </w:p>
    <w:p w:rsidR="00E57D5A" w:rsidRDefault="00E57D5A" w:rsidP="00E57D5A">
      <w:pPr>
        <w:spacing w:line="276" w:lineRule="auto"/>
        <w:ind w:firstLineChars="150" w:firstLine="360"/>
        <w:rPr>
          <w:rFonts w:ascii="宋体" w:hAnsi="宋体"/>
          <w:sz w:val="24"/>
        </w:rPr>
      </w:pPr>
      <w:r>
        <w:rPr>
          <w:rFonts w:ascii="宋体" w:hAnsi="宋体" w:hint="eastAsia"/>
          <w:sz w:val="24"/>
        </w:rPr>
        <w:t>3、客户如再次购买我行理财产品，可在</w:t>
      </w:r>
      <w:r w:rsidR="00815F23">
        <w:rPr>
          <w:rFonts w:ascii="宋体" w:hAnsi="宋体" w:hint="eastAsia"/>
          <w:sz w:val="24"/>
        </w:rPr>
        <w:t>代销银行</w:t>
      </w:r>
      <w:r w:rsidR="00FE2E1C">
        <w:rPr>
          <w:rFonts w:ascii="宋体" w:hAnsi="宋体" w:hint="eastAsia"/>
          <w:sz w:val="24"/>
        </w:rPr>
        <w:t>网点</w:t>
      </w:r>
      <w:r>
        <w:rPr>
          <w:rFonts w:ascii="宋体" w:hAnsi="宋体" w:hint="eastAsia"/>
          <w:sz w:val="24"/>
        </w:rPr>
        <w:t>、</w:t>
      </w:r>
      <w:r w:rsidR="00815F23">
        <w:rPr>
          <w:rFonts w:ascii="宋体" w:hAnsi="宋体" w:hint="eastAsia"/>
          <w:sz w:val="24"/>
        </w:rPr>
        <w:t>代销银行</w:t>
      </w:r>
      <w:r>
        <w:rPr>
          <w:rFonts w:ascii="宋体" w:hAnsi="宋体" w:hint="eastAsia"/>
          <w:sz w:val="24"/>
        </w:rPr>
        <w:t>网上银行等自助渠道进行风险承受能力评估。</w:t>
      </w:r>
    </w:p>
    <w:p w:rsidR="00E57D5A" w:rsidRDefault="00E57D5A" w:rsidP="00E57D5A">
      <w:pPr>
        <w:spacing w:line="276" w:lineRule="auto"/>
        <w:ind w:firstLineChars="150" w:firstLine="360"/>
        <w:rPr>
          <w:rFonts w:ascii="宋体" w:hAnsi="宋体"/>
          <w:sz w:val="24"/>
        </w:rPr>
      </w:pPr>
      <w:r>
        <w:rPr>
          <w:rFonts w:ascii="宋体" w:hAnsi="宋体" w:hint="eastAsia"/>
          <w:sz w:val="24"/>
        </w:rPr>
        <w:t>4、客户通过</w:t>
      </w:r>
      <w:r w:rsidR="00815F23">
        <w:rPr>
          <w:rFonts w:ascii="宋体" w:hAnsi="宋体" w:hint="eastAsia"/>
          <w:sz w:val="24"/>
        </w:rPr>
        <w:t>代销银行</w:t>
      </w:r>
      <w:r w:rsidR="008E76DC">
        <w:rPr>
          <w:rFonts w:ascii="宋体" w:hAnsi="宋体" w:hint="eastAsia"/>
          <w:sz w:val="24"/>
        </w:rPr>
        <w:t>网上银行等自助渠道购买理财产品时，系统判断客户已在</w:t>
      </w:r>
      <w:r w:rsidR="00815F23">
        <w:rPr>
          <w:rFonts w:ascii="宋体" w:hAnsi="宋体" w:hint="eastAsia"/>
          <w:sz w:val="24"/>
        </w:rPr>
        <w:t>代销银行</w:t>
      </w:r>
      <w:r>
        <w:rPr>
          <w:rFonts w:ascii="宋体" w:hAnsi="宋体" w:hint="eastAsia"/>
          <w:sz w:val="24"/>
        </w:rPr>
        <w:t>签署风险承受能力评估问卷且评估日期距当前不超过12个月，方可购买理财产品。否则客户应重新进行风险承受能力评估。</w:t>
      </w:r>
    </w:p>
    <w:p w:rsidR="00E57D5A" w:rsidRDefault="00E57D5A" w:rsidP="00E57D5A">
      <w:pPr>
        <w:spacing w:line="276" w:lineRule="auto"/>
        <w:ind w:firstLineChars="150" w:firstLine="360"/>
        <w:rPr>
          <w:rFonts w:ascii="宋体" w:hAnsi="宋体"/>
          <w:sz w:val="24"/>
        </w:rPr>
      </w:pPr>
      <w:r>
        <w:rPr>
          <w:rFonts w:ascii="宋体" w:hAnsi="宋体" w:hint="eastAsia"/>
          <w:sz w:val="24"/>
        </w:rPr>
        <w:t>5、客户未在</w:t>
      </w:r>
      <w:r w:rsidR="00815F23">
        <w:rPr>
          <w:rFonts w:ascii="宋体" w:hAnsi="宋体" w:hint="eastAsia"/>
          <w:sz w:val="24"/>
        </w:rPr>
        <w:t>代销银行</w:t>
      </w:r>
      <w:r>
        <w:rPr>
          <w:rFonts w:ascii="宋体" w:hAnsi="宋体" w:hint="eastAsia"/>
          <w:sz w:val="24"/>
        </w:rPr>
        <w:t>进行过风险承受能力评估而准备购买我行自主研发理财产品的，必须进行风险承受能力评估，未进行风险评估的客户不得购买本理财产品。</w:t>
      </w:r>
    </w:p>
    <w:p w:rsidR="00E57D5A" w:rsidRDefault="00E57D5A" w:rsidP="00E57D5A">
      <w:pPr>
        <w:spacing w:line="276" w:lineRule="auto"/>
        <w:ind w:firstLineChars="150" w:firstLine="360"/>
        <w:rPr>
          <w:rFonts w:ascii="宋体" w:hAnsi="宋体"/>
          <w:sz w:val="24"/>
        </w:rPr>
      </w:pPr>
      <w:r>
        <w:rPr>
          <w:rFonts w:ascii="宋体" w:hAnsi="宋体" w:hint="eastAsia"/>
          <w:sz w:val="24"/>
        </w:rPr>
        <w:t>6、超过65岁（含）的客户购买理财产品，应当充分考虑年龄、相关投资经验、风险承受能力等因素。</w:t>
      </w:r>
    </w:p>
    <w:p w:rsidR="00E57D5A" w:rsidRDefault="00E57D5A" w:rsidP="00E57D5A">
      <w:pPr>
        <w:spacing w:line="276" w:lineRule="auto"/>
        <w:ind w:firstLineChars="150" w:firstLine="360"/>
        <w:rPr>
          <w:rFonts w:ascii="宋体" w:hAnsi="宋体"/>
          <w:sz w:val="24"/>
        </w:rPr>
      </w:pPr>
      <w:r>
        <w:rPr>
          <w:rFonts w:ascii="宋体" w:hAnsi="宋体" w:hint="eastAsia"/>
          <w:sz w:val="24"/>
        </w:rPr>
        <w:t>具体评定结果及理财产品销售客户匹配表如下：</w:t>
      </w:r>
    </w:p>
    <w:tbl>
      <w:tblPr>
        <w:tblW w:w="5000" w:type="pct"/>
        <w:jc w:val="center"/>
        <w:tblLook w:val="04A0" w:firstRow="1" w:lastRow="0" w:firstColumn="1" w:lastColumn="0" w:noHBand="0" w:noVBand="1"/>
      </w:tblPr>
      <w:tblGrid>
        <w:gridCol w:w="1431"/>
        <w:gridCol w:w="1306"/>
        <w:gridCol w:w="2924"/>
        <w:gridCol w:w="2635"/>
      </w:tblGrid>
      <w:tr w:rsidR="00E57D5A" w:rsidTr="00E57D5A">
        <w:trPr>
          <w:trHeight w:val="297"/>
          <w:jc w:val="center"/>
        </w:trPr>
        <w:tc>
          <w:tcPr>
            <w:tcW w:w="863" w:type="pct"/>
            <w:tcBorders>
              <w:top w:val="single" w:sz="4" w:space="0" w:color="auto"/>
              <w:left w:val="single" w:sz="4" w:space="0" w:color="auto"/>
              <w:bottom w:val="single" w:sz="4" w:space="0" w:color="auto"/>
              <w:right w:val="single" w:sz="4" w:space="0" w:color="auto"/>
            </w:tcBorders>
            <w:shd w:val="clear" w:color="auto" w:fill="CC99FF"/>
            <w:vAlign w:val="center"/>
            <w:hideMark/>
          </w:tcPr>
          <w:p w:rsidR="00E57D5A" w:rsidRDefault="00E57D5A">
            <w:pPr>
              <w:widowControl/>
              <w:spacing w:line="276" w:lineRule="auto"/>
              <w:ind w:firstLine="0"/>
              <w:jc w:val="center"/>
              <w:rPr>
                <w:rFonts w:ascii="仿宋_GB2312" w:eastAsia="仿宋_GB2312" w:hAnsi="宋体" w:cs="宋体"/>
                <w:b/>
                <w:bCs/>
                <w:kern w:val="0"/>
                <w:sz w:val="24"/>
                <w:szCs w:val="24"/>
              </w:rPr>
            </w:pPr>
            <w:r>
              <w:rPr>
                <w:rFonts w:ascii="仿宋_GB2312" w:eastAsia="仿宋_GB2312" w:hAnsi="宋体" w:cs="宋体" w:hint="eastAsia"/>
                <w:b/>
                <w:bCs/>
                <w:kern w:val="0"/>
                <w:sz w:val="24"/>
                <w:szCs w:val="24"/>
              </w:rPr>
              <w:t>分值范围</w:t>
            </w:r>
          </w:p>
        </w:tc>
        <w:tc>
          <w:tcPr>
            <w:tcW w:w="787" w:type="pct"/>
            <w:tcBorders>
              <w:top w:val="single" w:sz="4" w:space="0" w:color="auto"/>
              <w:left w:val="nil"/>
              <w:bottom w:val="single" w:sz="4" w:space="0" w:color="auto"/>
              <w:right w:val="single" w:sz="4" w:space="0" w:color="auto"/>
            </w:tcBorders>
            <w:shd w:val="clear" w:color="auto" w:fill="CC99FF"/>
            <w:vAlign w:val="center"/>
            <w:hideMark/>
          </w:tcPr>
          <w:p w:rsidR="00E57D5A" w:rsidRDefault="00E57D5A">
            <w:pPr>
              <w:widowControl/>
              <w:spacing w:line="276" w:lineRule="auto"/>
              <w:ind w:firstLine="0"/>
              <w:jc w:val="center"/>
              <w:rPr>
                <w:rFonts w:ascii="仿宋_GB2312" w:eastAsia="仿宋_GB2312" w:hAnsi="宋体" w:cs="宋体"/>
                <w:b/>
                <w:bCs/>
                <w:kern w:val="0"/>
                <w:sz w:val="24"/>
                <w:szCs w:val="24"/>
              </w:rPr>
            </w:pPr>
            <w:r>
              <w:rPr>
                <w:rFonts w:ascii="仿宋_GB2312" w:eastAsia="仿宋_GB2312" w:hAnsi="宋体" w:cs="宋体" w:hint="eastAsia"/>
                <w:b/>
                <w:bCs/>
                <w:kern w:val="0"/>
                <w:sz w:val="24"/>
                <w:szCs w:val="24"/>
              </w:rPr>
              <w:t>客户类型</w:t>
            </w:r>
          </w:p>
        </w:tc>
        <w:tc>
          <w:tcPr>
            <w:tcW w:w="1762" w:type="pct"/>
            <w:tcBorders>
              <w:top w:val="single" w:sz="4" w:space="0" w:color="auto"/>
              <w:left w:val="nil"/>
              <w:bottom w:val="single" w:sz="4" w:space="0" w:color="auto"/>
              <w:right w:val="single" w:sz="4" w:space="0" w:color="auto"/>
            </w:tcBorders>
            <w:shd w:val="clear" w:color="auto" w:fill="CC99FF"/>
            <w:vAlign w:val="center"/>
            <w:hideMark/>
          </w:tcPr>
          <w:p w:rsidR="00E57D5A" w:rsidRDefault="00E57D5A">
            <w:pPr>
              <w:widowControl/>
              <w:spacing w:line="276" w:lineRule="auto"/>
              <w:ind w:firstLine="0"/>
              <w:jc w:val="center"/>
              <w:rPr>
                <w:rFonts w:ascii="仿宋_GB2312" w:eastAsia="仿宋_GB2312" w:hAnsi="宋体" w:cs="宋体"/>
                <w:b/>
                <w:bCs/>
                <w:kern w:val="0"/>
                <w:sz w:val="24"/>
                <w:szCs w:val="24"/>
              </w:rPr>
            </w:pPr>
            <w:r>
              <w:rPr>
                <w:rFonts w:ascii="仿宋_GB2312" w:eastAsia="仿宋_GB2312" w:hAnsi="宋体" w:cs="宋体" w:hint="eastAsia"/>
                <w:b/>
                <w:bCs/>
                <w:kern w:val="0"/>
                <w:sz w:val="24"/>
                <w:szCs w:val="24"/>
              </w:rPr>
              <w:t>适合的产品类型</w:t>
            </w:r>
          </w:p>
        </w:tc>
        <w:tc>
          <w:tcPr>
            <w:tcW w:w="1588" w:type="pct"/>
            <w:tcBorders>
              <w:top w:val="single" w:sz="4" w:space="0" w:color="auto"/>
              <w:left w:val="nil"/>
              <w:bottom w:val="single" w:sz="4" w:space="0" w:color="auto"/>
              <w:right w:val="single" w:sz="4" w:space="0" w:color="auto"/>
            </w:tcBorders>
            <w:shd w:val="clear" w:color="auto" w:fill="CC99FF"/>
            <w:hideMark/>
          </w:tcPr>
          <w:p w:rsidR="00E57D5A" w:rsidRDefault="00E57D5A">
            <w:pPr>
              <w:widowControl/>
              <w:spacing w:line="276" w:lineRule="auto"/>
              <w:ind w:firstLine="0"/>
              <w:jc w:val="center"/>
              <w:rPr>
                <w:rFonts w:ascii="仿宋_GB2312" w:eastAsia="仿宋_GB2312" w:hAnsi="宋体" w:cs="宋体"/>
                <w:b/>
                <w:bCs/>
                <w:kern w:val="0"/>
                <w:sz w:val="24"/>
                <w:szCs w:val="24"/>
              </w:rPr>
            </w:pPr>
            <w:r>
              <w:rPr>
                <w:rFonts w:ascii="仿宋_GB2312" w:eastAsia="仿宋_GB2312" w:hAnsi="宋体" w:cs="宋体" w:hint="eastAsia"/>
                <w:b/>
                <w:bCs/>
                <w:kern w:val="0"/>
                <w:sz w:val="24"/>
                <w:szCs w:val="24"/>
              </w:rPr>
              <w:t>适合产品风险等级</w:t>
            </w:r>
          </w:p>
        </w:tc>
      </w:tr>
      <w:tr w:rsidR="00E57D5A" w:rsidTr="00E57D5A">
        <w:trPr>
          <w:trHeight w:val="285"/>
          <w:jc w:val="center"/>
        </w:trPr>
        <w:tc>
          <w:tcPr>
            <w:tcW w:w="863" w:type="pct"/>
            <w:tcBorders>
              <w:top w:val="nil"/>
              <w:left w:val="single" w:sz="4" w:space="0" w:color="auto"/>
              <w:bottom w:val="single" w:sz="4" w:space="0" w:color="auto"/>
              <w:right w:val="single" w:sz="4" w:space="0" w:color="auto"/>
            </w:tcBorders>
            <w:vAlign w:val="center"/>
            <w:hideMark/>
          </w:tcPr>
          <w:p w:rsidR="00E57D5A" w:rsidRDefault="00E57D5A">
            <w:pPr>
              <w:widowControl/>
              <w:spacing w:line="276" w:lineRule="auto"/>
              <w:ind w:firstLine="0"/>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小于等于20</w:t>
            </w:r>
          </w:p>
        </w:tc>
        <w:tc>
          <w:tcPr>
            <w:tcW w:w="787" w:type="pct"/>
            <w:tcBorders>
              <w:top w:val="nil"/>
              <w:left w:val="nil"/>
              <w:bottom w:val="single" w:sz="4" w:space="0" w:color="auto"/>
              <w:right w:val="single" w:sz="4" w:space="0" w:color="auto"/>
            </w:tcBorders>
            <w:vAlign w:val="center"/>
            <w:hideMark/>
          </w:tcPr>
          <w:p w:rsidR="00E57D5A" w:rsidRDefault="00E57D5A">
            <w:pPr>
              <w:widowControl/>
              <w:spacing w:line="276" w:lineRule="auto"/>
              <w:ind w:firstLine="0"/>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保守型</w:t>
            </w:r>
          </w:p>
        </w:tc>
        <w:tc>
          <w:tcPr>
            <w:tcW w:w="1762" w:type="pct"/>
            <w:tcBorders>
              <w:top w:val="nil"/>
              <w:left w:val="nil"/>
              <w:bottom w:val="single" w:sz="4" w:space="0" w:color="auto"/>
              <w:right w:val="single" w:sz="4" w:space="0" w:color="auto"/>
            </w:tcBorders>
            <w:vAlign w:val="center"/>
            <w:hideMark/>
          </w:tcPr>
          <w:p w:rsidR="00E57D5A" w:rsidRDefault="00E57D5A">
            <w:pPr>
              <w:spacing w:line="276" w:lineRule="auto"/>
              <w:ind w:firstLine="0"/>
              <w:rPr>
                <w:rFonts w:ascii="宋体" w:hAnsi="宋体" w:cs="宋体"/>
                <w:color w:val="000000"/>
                <w:sz w:val="24"/>
                <w:szCs w:val="24"/>
              </w:rPr>
            </w:pPr>
            <w:r>
              <w:rPr>
                <w:rFonts w:ascii="仿宋_GB2312" w:eastAsia="仿宋_GB2312" w:hAnsi="宋体" w:cs="宋体" w:hint="eastAsia"/>
                <w:kern w:val="0"/>
                <w:sz w:val="24"/>
                <w:szCs w:val="24"/>
              </w:rPr>
              <w:t>低风险产品</w:t>
            </w:r>
          </w:p>
        </w:tc>
        <w:tc>
          <w:tcPr>
            <w:tcW w:w="1588" w:type="pct"/>
            <w:tcBorders>
              <w:top w:val="nil"/>
              <w:left w:val="nil"/>
              <w:bottom w:val="single" w:sz="4" w:space="0" w:color="auto"/>
              <w:right w:val="single" w:sz="4" w:space="0" w:color="auto"/>
            </w:tcBorders>
            <w:hideMark/>
          </w:tcPr>
          <w:p w:rsidR="00E57D5A" w:rsidRDefault="00E57D5A">
            <w:pPr>
              <w:spacing w:line="276" w:lineRule="auto"/>
              <w:ind w:firstLine="0"/>
              <w:rPr>
                <w:rFonts w:ascii="仿宋_GB2312" w:eastAsia="仿宋_GB2312" w:hAnsi="宋体" w:cs="宋体"/>
                <w:kern w:val="0"/>
                <w:sz w:val="24"/>
                <w:szCs w:val="24"/>
              </w:rPr>
            </w:pPr>
            <w:r>
              <w:rPr>
                <w:rFonts w:ascii="仿宋_GB2312" w:eastAsia="仿宋_GB2312" w:hAnsi="宋体" w:cs="宋体" w:hint="eastAsia"/>
                <w:kern w:val="0"/>
                <w:sz w:val="24"/>
                <w:szCs w:val="24"/>
              </w:rPr>
              <w:t>一级</w:t>
            </w:r>
          </w:p>
        </w:tc>
      </w:tr>
      <w:tr w:rsidR="00E57D5A" w:rsidTr="00E57D5A">
        <w:trPr>
          <w:trHeight w:val="285"/>
          <w:jc w:val="center"/>
        </w:trPr>
        <w:tc>
          <w:tcPr>
            <w:tcW w:w="863" w:type="pct"/>
            <w:tcBorders>
              <w:top w:val="nil"/>
              <w:left w:val="single" w:sz="4" w:space="0" w:color="auto"/>
              <w:bottom w:val="single" w:sz="4" w:space="0" w:color="auto"/>
              <w:right w:val="single" w:sz="4" w:space="0" w:color="auto"/>
            </w:tcBorders>
            <w:vAlign w:val="center"/>
            <w:hideMark/>
          </w:tcPr>
          <w:p w:rsidR="00E57D5A" w:rsidRDefault="00E57D5A">
            <w:pPr>
              <w:widowControl/>
              <w:spacing w:line="276" w:lineRule="auto"/>
              <w:ind w:firstLine="0"/>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21－45</w:t>
            </w:r>
          </w:p>
        </w:tc>
        <w:tc>
          <w:tcPr>
            <w:tcW w:w="787" w:type="pct"/>
            <w:tcBorders>
              <w:top w:val="nil"/>
              <w:left w:val="nil"/>
              <w:bottom w:val="single" w:sz="4" w:space="0" w:color="auto"/>
              <w:right w:val="single" w:sz="4" w:space="0" w:color="auto"/>
            </w:tcBorders>
            <w:vAlign w:val="center"/>
            <w:hideMark/>
          </w:tcPr>
          <w:p w:rsidR="00E57D5A" w:rsidRDefault="00E57D5A">
            <w:pPr>
              <w:widowControl/>
              <w:spacing w:line="276" w:lineRule="auto"/>
              <w:ind w:firstLine="0"/>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稳健型</w:t>
            </w:r>
          </w:p>
        </w:tc>
        <w:tc>
          <w:tcPr>
            <w:tcW w:w="1762" w:type="pct"/>
            <w:tcBorders>
              <w:top w:val="nil"/>
              <w:left w:val="nil"/>
              <w:bottom w:val="single" w:sz="4" w:space="0" w:color="auto"/>
              <w:right w:val="single" w:sz="4" w:space="0" w:color="auto"/>
            </w:tcBorders>
            <w:vAlign w:val="center"/>
            <w:hideMark/>
          </w:tcPr>
          <w:p w:rsidR="00E57D5A" w:rsidRDefault="00E57D5A">
            <w:pPr>
              <w:widowControl/>
              <w:spacing w:line="276" w:lineRule="auto"/>
              <w:ind w:firstLine="0"/>
              <w:rPr>
                <w:rFonts w:ascii="仿宋_GB2312" w:eastAsia="仿宋_GB2312" w:hAnsi="宋体" w:cs="宋体"/>
                <w:kern w:val="0"/>
                <w:sz w:val="24"/>
                <w:szCs w:val="24"/>
              </w:rPr>
            </w:pPr>
            <w:r>
              <w:rPr>
                <w:rFonts w:ascii="仿宋_GB2312" w:eastAsia="仿宋_GB2312" w:hAnsi="宋体" w:cs="宋体" w:hint="eastAsia"/>
                <w:kern w:val="0"/>
                <w:sz w:val="24"/>
                <w:szCs w:val="24"/>
              </w:rPr>
              <w:t>中低风险及以下产品</w:t>
            </w:r>
          </w:p>
        </w:tc>
        <w:tc>
          <w:tcPr>
            <w:tcW w:w="1588" w:type="pct"/>
            <w:tcBorders>
              <w:top w:val="nil"/>
              <w:left w:val="nil"/>
              <w:bottom w:val="single" w:sz="4" w:space="0" w:color="auto"/>
              <w:right w:val="single" w:sz="4" w:space="0" w:color="auto"/>
            </w:tcBorders>
            <w:hideMark/>
          </w:tcPr>
          <w:p w:rsidR="00E57D5A" w:rsidRDefault="00E57D5A">
            <w:pPr>
              <w:widowControl/>
              <w:spacing w:line="276" w:lineRule="auto"/>
              <w:ind w:firstLine="0"/>
              <w:rPr>
                <w:rFonts w:ascii="仿宋_GB2312" w:eastAsia="仿宋_GB2312" w:hAnsi="宋体" w:cs="宋体"/>
                <w:kern w:val="0"/>
                <w:sz w:val="24"/>
                <w:szCs w:val="24"/>
              </w:rPr>
            </w:pPr>
            <w:r>
              <w:rPr>
                <w:rFonts w:ascii="仿宋_GB2312" w:eastAsia="仿宋_GB2312" w:hAnsi="宋体" w:cs="宋体" w:hint="eastAsia"/>
                <w:kern w:val="0"/>
                <w:sz w:val="24"/>
                <w:szCs w:val="24"/>
              </w:rPr>
              <w:t>一级、二级</w:t>
            </w:r>
          </w:p>
        </w:tc>
      </w:tr>
      <w:tr w:rsidR="00E57D5A" w:rsidTr="00E57D5A">
        <w:trPr>
          <w:trHeight w:val="285"/>
          <w:jc w:val="center"/>
        </w:trPr>
        <w:tc>
          <w:tcPr>
            <w:tcW w:w="863" w:type="pct"/>
            <w:tcBorders>
              <w:top w:val="nil"/>
              <w:left w:val="single" w:sz="4" w:space="0" w:color="auto"/>
              <w:bottom w:val="single" w:sz="4" w:space="0" w:color="auto"/>
              <w:right w:val="single" w:sz="4" w:space="0" w:color="auto"/>
            </w:tcBorders>
            <w:vAlign w:val="center"/>
            <w:hideMark/>
          </w:tcPr>
          <w:p w:rsidR="00E57D5A" w:rsidRDefault="00E57D5A">
            <w:pPr>
              <w:widowControl/>
              <w:spacing w:line="276" w:lineRule="auto"/>
              <w:ind w:firstLine="0"/>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46－70</w:t>
            </w:r>
          </w:p>
        </w:tc>
        <w:tc>
          <w:tcPr>
            <w:tcW w:w="787" w:type="pct"/>
            <w:tcBorders>
              <w:top w:val="nil"/>
              <w:left w:val="nil"/>
              <w:bottom w:val="single" w:sz="4" w:space="0" w:color="auto"/>
              <w:right w:val="single" w:sz="4" w:space="0" w:color="auto"/>
            </w:tcBorders>
            <w:vAlign w:val="center"/>
            <w:hideMark/>
          </w:tcPr>
          <w:p w:rsidR="00E57D5A" w:rsidRDefault="00E57D5A">
            <w:pPr>
              <w:widowControl/>
              <w:spacing w:line="276" w:lineRule="auto"/>
              <w:ind w:firstLine="0"/>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平衡型</w:t>
            </w:r>
          </w:p>
        </w:tc>
        <w:tc>
          <w:tcPr>
            <w:tcW w:w="1762" w:type="pct"/>
            <w:tcBorders>
              <w:top w:val="nil"/>
              <w:left w:val="nil"/>
              <w:bottom w:val="single" w:sz="4" w:space="0" w:color="auto"/>
              <w:right w:val="single" w:sz="4" w:space="0" w:color="auto"/>
            </w:tcBorders>
            <w:vAlign w:val="center"/>
            <w:hideMark/>
          </w:tcPr>
          <w:p w:rsidR="00E57D5A" w:rsidRDefault="00E57D5A">
            <w:pPr>
              <w:widowControl/>
              <w:spacing w:line="276" w:lineRule="auto"/>
              <w:ind w:firstLine="0"/>
              <w:rPr>
                <w:rFonts w:ascii="仿宋_GB2312" w:eastAsia="仿宋_GB2312" w:hAnsi="宋体" w:cs="宋体"/>
                <w:kern w:val="0"/>
                <w:sz w:val="24"/>
                <w:szCs w:val="24"/>
              </w:rPr>
            </w:pPr>
            <w:r>
              <w:rPr>
                <w:rFonts w:ascii="仿宋_GB2312" w:eastAsia="仿宋_GB2312" w:hAnsi="宋体" w:cs="宋体" w:hint="eastAsia"/>
                <w:kern w:val="0"/>
                <w:sz w:val="24"/>
                <w:szCs w:val="24"/>
              </w:rPr>
              <w:t>中风险及以下产品</w:t>
            </w:r>
          </w:p>
        </w:tc>
        <w:tc>
          <w:tcPr>
            <w:tcW w:w="1588" w:type="pct"/>
            <w:tcBorders>
              <w:top w:val="nil"/>
              <w:left w:val="nil"/>
              <w:bottom w:val="single" w:sz="4" w:space="0" w:color="auto"/>
              <w:right w:val="single" w:sz="4" w:space="0" w:color="auto"/>
            </w:tcBorders>
            <w:hideMark/>
          </w:tcPr>
          <w:p w:rsidR="00E57D5A" w:rsidRDefault="00E57D5A">
            <w:pPr>
              <w:widowControl/>
              <w:spacing w:line="276" w:lineRule="auto"/>
              <w:ind w:firstLine="0"/>
              <w:rPr>
                <w:rFonts w:ascii="仿宋_GB2312" w:eastAsia="仿宋_GB2312" w:hAnsi="宋体" w:cs="宋体"/>
                <w:kern w:val="0"/>
                <w:sz w:val="24"/>
                <w:szCs w:val="24"/>
              </w:rPr>
            </w:pPr>
            <w:r>
              <w:rPr>
                <w:rFonts w:ascii="仿宋_GB2312" w:eastAsia="仿宋_GB2312" w:hAnsi="宋体" w:cs="宋体" w:hint="eastAsia"/>
                <w:kern w:val="0"/>
                <w:sz w:val="24"/>
                <w:szCs w:val="24"/>
              </w:rPr>
              <w:t>一级、二级、三级</w:t>
            </w:r>
          </w:p>
        </w:tc>
      </w:tr>
      <w:tr w:rsidR="00E57D5A" w:rsidTr="00E57D5A">
        <w:trPr>
          <w:trHeight w:val="314"/>
          <w:jc w:val="center"/>
        </w:trPr>
        <w:tc>
          <w:tcPr>
            <w:tcW w:w="863" w:type="pct"/>
            <w:tcBorders>
              <w:top w:val="nil"/>
              <w:left w:val="single" w:sz="4" w:space="0" w:color="auto"/>
              <w:bottom w:val="single" w:sz="4" w:space="0" w:color="auto"/>
              <w:right w:val="single" w:sz="4" w:space="0" w:color="auto"/>
            </w:tcBorders>
            <w:vAlign w:val="center"/>
            <w:hideMark/>
          </w:tcPr>
          <w:p w:rsidR="00E57D5A" w:rsidRDefault="00E57D5A">
            <w:pPr>
              <w:widowControl/>
              <w:spacing w:line="276" w:lineRule="auto"/>
              <w:ind w:firstLine="0"/>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71－85</w:t>
            </w:r>
          </w:p>
        </w:tc>
        <w:tc>
          <w:tcPr>
            <w:tcW w:w="787" w:type="pct"/>
            <w:tcBorders>
              <w:top w:val="nil"/>
              <w:left w:val="nil"/>
              <w:bottom w:val="single" w:sz="4" w:space="0" w:color="auto"/>
              <w:right w:val="single" w:sz="4" w:space="0" w:color="auto"/>
            </w:tcBorders>
            <w:vAlign w:val="center"/>
            <w:hideMark/>
          </w:tcPr>
          <w:p w:rsidR="00E57D5A" w:rsidRDefault="00E57D5A">
            <w:pPr>
              <w:widowControl/>
              <w:spacing w:line="276" w:lineRule="auto"/>
              <w:ind w:firstLine="0"/>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成长型</w:t>
            </w:r>
          </w:p>
        </w:tc>
        <w:tc>
          <w:tcPr>
            <w:tcW w:w="1762" w:type="pct"/>
            <w:tcBorders>
              <w:top w:val="nil"/>
              <w:left w:val="nil"/>
              <w:bottom w:val="single" w:sz="4" w:space="0" w:color="auto"/>
              <w:right w:val="single" w:sz="4" w:space="0" w:color="auto"/>
            </w:tcBorders>
            <w:vAlign w:val="center"/>
            <w:hideMark/>
          </w:tcPr>
          <w:p w:rsidR="00E57D5A" w:rsidRDefault="00E57D5A">
            <w:pPr>
              <w:widowControl/>
              <w:spacing w:line="276" w:lineRule="auto"/>
              <w:ind w:firstLine="0"/>
              <w:rPr>
                <w:rFonts w:ascii="仿宋_GB2312" w:eastAsia="仿宋_GB2312" w:hAnsi="宋体" w:cs="宋体"/>
                <w:kern w:val="0"/>
                <w:sz w:val="24"/>
                <w:szCs w:val="24"/>
              </w:rPr>
            </w:pPr>
            <w:r>
              <w:rPr>
                <w:rFonts w:ascii="仿宋_GB2312" w:eastAsia="仿宋_GB2312" w:hAnsi="宋体" w:cs="宋体" w:hint="eastAsia"/>
                <w:kern w:val="0"/>
                <w:sz w:val="24"/>
                <w:szCs w:val="24"/>
              </w:rPr>
              <w:t>中高风险及以下产品</w:t>
            </w:r>
          </w:p>
        </w:tc>
        <w:tc>
          <w:tcPr>
            <w:tcW w:w="1588" w:type="pct"/>
            <w:tcBorders>
              <w:top w:val="nil"/>
              <w:left w:val="nil"/>
              <w:bottom w:val="single" w:sz="4" w:space="0" w:color="auto"/>
              <w:right w:val="single" w:sz="4" w:space="0" w:color="auto"/>
            </w:tcBorders>
            <w:hideMark/>
          </w:tcPr>
          <w:p w:rsidR="00E57D5A" w:rsidRDefault="00E57D5A">
            <w:pPr>
              <w:widowControl/>
              <w:spacing w:line="276" w:lineRule="auto"/>
              <w:ind w:firstLine="0"/>
              <w:rPr>
                <w:rFonts w:ascii="仿宋_GB2312" w:eastAsia="仿宋_GB2312" w:hAnsi="宋体" w:cs="宋体"/>
                <w:kern w:val="0"/>
                <w:sz w:val="24"/>
                <w:szCs w:val="24"/>
              </w:rPr>
            </w:pPr>
            <w:r>
              <w:rPr>
                <w:rFonts w:ascii="仿宋_GB2312" w:eastAsia="仿宋_GB2312" w:hAnsi="宋体" w:cs="宋体" w:hint="eastAsia"/>
                <w:kern w:val="0"/>
                <w:sz w:val="24"/>
                <w:szCs w:val="24"/>
              </w:rPr>
              <w:t>一级、二级、三级、四级</w:t>
            </w:r>
          </w:p>
        </w:tc>
      </w:tr>
      <w:tr w:rsidR="00E57D5A" w:rsidTr="00E57D5A">
        <w:trPr>
          <w:trHeight w:val="249"/>
          <w:jc w:val="center"/>
        </w:trPr>
        <w:tc>
          <w:tcPr>
            <w:tcW w:w="863" w:type="pct"/>
            <w:tcBorders>
              <w:top w:val="nil"/>
              <w:left w:val="single" w:sz="4" w:space="0" w:color="auto"/>
              <w:bottom w:val="single" w:sz="4" w:space="0" w:color="auto"/>
              <w:right w:val="single" w:sz="4" w:space="0" w:color="auto"/>
            </w:tcBorders>
            <w:vAlign w:val="center"/>
            <w:hideMark/>
          </w:tcPr>
          <w:p w:rsidR="00E57D5A" w:rsidRDefault="00E57D5A">
            <w:pPr>
              <w:widowControl/>
              <w:spacing w:line="276" w:lineRule="auto"/>
              <w:ind w:firstLine="0"/>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86－100</w:t>
            </w:r>
          </w:p>
        </w:tc>
        <w:tc>
          <w:tcPr>
            <w:tcW w:w="787" w:type="pct"/>
            <w:tcBorders>
              <w:top w:val="nil"/>
              <w:left w:val="nil"/>
              <w:bottom w:val="single" w:sz="4" w:space="0" w:color="auto"/>
              <w:right w:val="single" w:sz="4" w:space="0" w:color="auto"/>
            </w:tcBorders>
            <w:vAlign w:val="center"/>
            <w:hideMark/>
          </w:tcPr>
          <w:p w:rsidR="00E57D5A" w:rsidRDefault="00E57D5A">
            <w:pPr>
              <w:widowControl/>
              <w:spacing w:line="276" w:lineRule="auto"/>
              <w:ind w:firstLine="0"/>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进取型</w:t>
            </w:r>
          </w:p>
        </w:tc>
        <w:tc>
          <w:tcPr>
            <w:tcW w:w="1762" w:type="pct"/>
            <w:tcBorders>
              <w:top w:val="nil"/>
              <w:left w:val="nil"/>
              <w:bottom w:val="single" w:sz="4" w:space="0" w:color="auto"/>
              <w:right w:val="single" w:sz="4" w:space="0" w:color="auto"/>
            </w:tcBorders>
            <w:vAlign w:val="center"/>
            <w:hideMark/>
          </w:tcPr>
          <w:p w:rsidR="00E57D5A" w:rsidRDefault="00E57D5A">
            <w:pPr>
              <w:widowControl/>
              <w:spacing w:line="276" w:lineRule="auto"/>
              <w:ind w:firstLine="0"/>
              <w:rPr>
                <w:rFonts w:ascii="仿宋_GB2312" w:eastAsia="仿宋_GB2312" w:hAnsi="宋体" w:cs="宋体"/>
                <w:kern w:val="0"/>
                <w:sz w:val="24"/>
                <w:szCs w:val="24"/>
              </w:rPr>
            </w:pPr>
            <w:r>
              <w:rPr>
                <w:rFonts w:ascii="仿宋_GB2312" w:eastAsia="仿宋_GB2312" w:hAnsi="宋体" w:cs="宋体" w:hint="eastAsia"/>
                <w:kern w:val="0"/>
                <w:sz w:val="24"/>
                <w:szCs w:val="24"/>
              </w:rPr>
              <w:t>高风险及以下产品</w:t>
            </w:r>
          </w:p>
        </w:tc>
        <w:tc>
          <w:tcPr>
            <w:tcW w:w="1588" w:type="pct"/>
            <w:tcBorders>
              <w:top w:val="nil"/>
              <w:left w:val="nil"/>
              <w:bottom w:val="single" w:sz="4" w:space="0" w:color="auto"/>
              <w:right w:val="single" w:sz="4" w:space="0" w:color="auto"/>
            </w:tcBorders>
            <w:hideMark/>
          </w:tcPr>
          <w:p w:rsidR="00E57D5A" w:rsidRDefault="00E57D5A">
            <w:pPr>
              <w:widowControl/>
              <w:spacing w:line="276" w:lineRule="auto"/>
              <w:ind w:firstLine="0"/>
              <w:rPr>
                <w:rFonts w:ascii="仿宋_GB2312" w:eastAsia="仿宋_GB2312" w:hAnsi="宋体" w:cs="宋体"/>
                <w:kern w:val="0"/>
                <w:sz w:val="24"/>
                <w:szCs w:val="24"/>
              </w:rPr>
            </w:pPr>
            <w:r>
              <w:rPr>
                <w:rFonts w:ascii="仿宋_GB2312" w:eastAsia="仿宋_GB2312" w:hAnsi="宋体" w:cs="宋体" w:hint="eastAsia"/>
                <w:kern w:val="0"/>
                <w:sz w:val="24"/>
                <w:szCs w:val="24"/>
              </w:rPr>
              <w:t>一级、二级、三级、四级、五级</w:t>
            </w:r>
          </w:p>
        </w:tc>
      </w:tr>
    </w:tbl>
    <w:p w:rsidR="00E57D5A" w:rsidRDefault="00E57D5A" w:rsidP="00E57D5A">
      <w:pPr>
        <w:spacing w:before="240" w:after="120" w:line="276" w:lineRule="auto"/>
        <w:ind w:firstLine="0"/>
        <w:outlineLvl w:val="0"/>
        <w:rPr>
          <w:rFonts w:ascii="宋体" w:hAnsi="宋体"/>
          <w:sz w:val="24"/>
        </w:rPr>
      </w:pPr>
      <w:r>
        <w:rPr>
          <w:rFonts w:ascii="宋体" w:hAnsi="宋体" w:hint="eastAsia"/>
          <w:sz w:val="24"/>
        </w:rPr>
        <w:t>（二）产品风险评级</w:t>
      </w:r>
    </w:p>
    <w:tbl>
      <w:tblPr>
        <w:tblW w:w="5035" w:type="pct"/>
        <w:tblInd w:w="-34" w:type="dxa"/>
        <w:tblLook w:val="04A0" w:firstRow="1" w:lastRow="0" w:firstColumn="1" w:lastColumn="0" w:noHBand="0" w:noVBand="1"/>
      </w:tblPr>
      <w:tblGrid>
        <w:gridCol w:w="1417"/>
        <w:gridCol w:w="1517"/>
        <w:gridCol w:w="5420"/>
      </w:tblGrid>
      <w:tr w:rsidR="00E57D5A" w:rsidTr="00E57D5A">
        <w:trPr>
          <w:trHeight w:val="323"/>
        </w:trPr>
        <w:tc>
          <w:tcPr>
            <w:tcW w:w="848" w:type="pct"/>
            <w:tcBorders>
              <w:top w:val="single" w:sz="4" w:space="0" w:color="auto"/>
              <w:left w:val="single" w:sz="4" w:space="0" w:color="auto"/>
              <w:bottom w:val="single" w:sz="4" w:space="0" w:color="auto"/>
              <w:right w:val="single" w:sz="4" w:space="0" w:color="auto"/>
            </w:tcBorders>
            <w:vAlign w:val="center"/>
            <w:hideMark/>
          </w:tcPr>
          <w:p w:rsidR="00E57D5A" w:rsidRDefault="00E57D5A">
            <w:pPr>
              <w:widowControl/>
              <w:spacing w:line="276" w:lineRule="auto"/>
              <w:ind w:firstLine="0"/>
              <w:jc w:val="both"/>
              <w:rPr>
                <w:rFonts w:ascii="仿宋_GB2312" w:eastAsia="仿宋_GB2312" w:hAnsi="宋体" w:cs="宋体"/>
                <w:b/>
                <w:kern w:val="0"/>
                <w:sz w:val="24"/>
                <w:szCs w:val="21"/>
              </w:rPr>
            </w:pPr>
            <w:r>
              <w:rPr>
                <w:rFonts w:ascii="仿宋_GB2312" w:eastAsia="仿宋_GB2312" w:hAnsi="宋体" w:cs="宋体" w:hint="eastAsia"/>
                <w:b/>
                <w:kern w:val="0"/>
                <w:sz w:val="24"/>
                <w:szCs w:val="21"/>
              </w:rPr>
              <w:t>产品风险等级</w:t>
            </w:r>
          </w:p>
        </w:tc>
        <w:tc>
          <w:tcPr>
            <w:tcW w:w="908" w:type="pct"/>
            <w:tcBorders>
              <w:top w:val="single" w:sz="4" w:space="0" w:color="auto"/>
              <w:left w:val="nil"/>
              <w:bottom w:val="single" w:sz="4" w:space="0" w:color="auto"/>
              <w:right w:val="single" w:sz="4" w:space="0" w:color="auto"/>
            </w:tcBorders>
            <w:vAlign w:val="center"/>
            <w:hideMark/>
          </w:tcPr>
          <w:p w:rsidR="00E57D5A" w:rsidRDefault="00E57D5A">
            <w:pPr>
              <w:widowControl/>
              <w:spacing w:line="276" w:lineRule="auto"/>
              <w:ind w:firstLine="0"/>
              <w:jc w:val="both"/>
              <w:rPr>
                <w:rFonts w:ascii="仿宋_GB2312" w:eastAsia="仿宋_GB2312" w:hAnsi="宋体" w:cs="宋体"/>
                <w:b/>
                <w:kern w:val="0"/>
                <w:sz w:val="24"/>
                <w:szCs w:val="21"/>
              </w:rPr>
            </w:pPr>
            <w:r>
              <w:rPr>
                <w:rFonts w:ascii="仿宋_GB2312" w:eastAsia="仿宋_GB2312" w:hAnsi="宋体" w:cs="宋体" w:hint="eastAsia"/>
                <w:b/>
                <w:kern w:val="0"/>
                <w:sz w:val="24"/>
                <w:szCs w:val="21"/>
              </w:rPr>
              <w:t>风险水平</w:t>
            </w:r>
          </w:p>
        </w:tc>
        <w:tc>
          <w:tcPr>
            <w:tcW w:w="3244" w:type="pct"/>
            <w:tcBorders>
              <w:top w:val="single" w:sz="4" w:space="0" w:color="auto"/>
              <w:left w:val="nil"/>
              <w:bottom w:val="single" w:sz="4" w:space="0" w:color="auto"/>
              <w:right w:val="single" w:sz="4" w:space="0" w:color="auto"/>
            </w:tcBorders>
            <w:vAlign w:val="center"/>
            <w:hideMark/>
          </w:tcPr>
          <w:p w:rsidR="00E57D5A" w:rsidRDefault="00E57D5A">
            <w:pPr>
              <w:widowControl/>
              <w:spacing w:line="276" w:lineRule="auto"/>
              <w:ind w:firstLine="0"/>
              <w:jc w:val="center"/>
              <w:rPr>
                <w:rFonts w:ascii="仿宋_GB2312" w:eastAsia="仿宋_GB2312" w:hAnsi="宋体" w:cs="宋体"/>
                <w:b/>
                <w:kern w:val="0"/>
                <w:sz w:val="24"/>
                <w:szCs w:val="21"/>
              </w:rPr>
            </w:pPr>
            <w:r>
              <w:rPr>
                <w:rFonts w:ascii="仿宋_GB2312" w:eastAsia="仿宋_GB2312" w:hAnsi="宋体" w:cs="宋体" w:hint="eastAsia"/>
                <w:b/>
                <w:kern w:val="0"/>
                <w:sz w:val="24"/>
                <w:szCs w:val="21"/>
              </w:rPr>
              <w:t>评级说明</w:t>
            </w:r>
          </w:p>
        </w:tc>
      </w:tr>
      <w:tr w:rsidR="00E57D5A" w:rsidTr="00E57D5A">
        <w:trPr>
          <w:trHeight w:val="283"/>
        </w:trPr>
        <w:tc>
          <w:tcPr>
            <w:tcW w:w="848" w:type="pct"/>
            <w:tcBorders>
              <w:top w:val="nil"/>
              <w:left w:val="single" w:sz="4" w:space="0" w:color="auto"/>
              <w:bottom w:val="single" w:sz="4" w:space="0" w:color="auto"/>
              <w:right w:val="single" w:sz="4" w:space="0" w:color="auto"/>
            </w:tcBorders>
            <w:vAlign w:val="center"/>
            <w:hideMark/>
          </w:tcPr>
          <w:p w:rsidR="00E57D5A" w:rsidRDefault="00E57D5A">
            <w:pPr>
              <w:widowControl/>
              <w:spacing w:line="276" w:lineRule="auto"/>
              <w:ind w:firstLine="0"/>
              <w:rPr>
                <w:rFonts w:ascii="仿宋_GB2312" w:eastAsia="仿宋_GB2312" w:hAnsi="宋体" w:cs="宋体"/>
                <w:kern w:val="0"/>
                <w:sz w:val="24"/>
                <w:szCs w:val="21"/>
              </w:rPr>
            </w:pPr>
            <w:r>
              <w:rPr>
                <w:rFonts w:ascii="仿宋_GB2312" w:eastAsia="仿宋_GB2312" w:hAnsi="宋体" w:cs="宋体" w:hint="eastAsia"/>
                <w:kern w:val="0"/>
                <w:sz w:val="24"/>
                <w:szCs w:val="21"/>
              </w:rPr>
              <w:t>一级</w:t>
            </w:r>
          </w:p>
        </w:tc>
        <w:tc>
          <w:tcPr>
            <w:tcW w:w="908" w:type="pct"/>
            <w:tcBorders>
              <w:top w:val="nil"/>
              <w:left w:val="nil"/>
              <w:bottom w:val="single" w:sz="4" w:space="0" w:color="auto"/>
              <w:right w:val="single" w:sz="4" w:space="0" w:color="auto"/>
            </w:tcBorders>
            <w:vAlign w:val="center"/>
            <w:hideMark/>
          </w:tcPr>
          <w:p w:rsidR="00E57D5A" w:rsidRDefault="00E57D5A">
            <w:pPr>
              <w:widowControl/>
              <w:spacing w:line="276" w:lineRule="auto"/>
              <w:ind w:firstLine="0"/>
              <w:rPr>
                <w:rFonts w:ascii="仿宋_GB2312" w:eastAsia="仿宋_GB2312" w:hAnsi="宋体" w:cs="宋体"/>
                <w:kern w:val="0"/>
                <w:sz w:val="24"/>
                <w:szCs w:val="21"/>
              </w:rPr>
            </w:pPr>
            <w:r>
              <w:rPr>
                <w:rFonts w:ascii="仿宋_GB2312" w:eastAsia="仿宋_GB2312" w:hAnsi="宋体" w:cs="宋体" w:hint="eastAsia"/>
                <w:kern w:val="0"/>
                <w:sz w:val="24"/>
                <w:szCs w:val="21"/>
              </w:rPr>
              <w:t>低</w:t>
            </w:r>
          </w:p>
        </w:tc>
        <w:tc>
          <w:tcPr>
            <w:tcW w:w="3244" w:type="pct"/>
            <w:tcBorders>
              <w:top w:val="nil"/>
              <w:left w:val="nil"/>
              <w:bottom w:val="single" w:sz="4" w:space="0" w:color="auto"/>
              <w:right w:val="single" w:sz="4" w:space="0" w:color="auto"/>
            </w:tcBorders>
            <w:vAlign w:val="center"/>
            <w:hideMark/>
          </w:tcPr>
          <w:p w:rsidR="00E57D5A" w:rsidRDefault="00E57D5A">
            <w:pPr>
              <w:widowControl/>
              <w:spacing w:line="276" w:lineRule="auto"/>
              <w:ind w:firstLine="0"/>
              <w:rPr>
                <w:rFonts w:ascii="仿宋_GB2312" w:eastAsia="仿宋_GB2312" w:hAnsi="宋体" w:cs="宋体"/>
                <w:kern w:val="0"/>
                <w:sz w:val="24"/>
                <w:szCs w:val="21"/>
              </w:rPr>
            </w:pPr>
            <w:r>
              <w:rPr>
                <w:rFonts w:ascii="仿宋_GB2312" w:eastAsia="仿宋_GB2312" w:hAnsi="宋体" w:cs="宋体" w:hint="eastAsia"/>
                <w:kern w:val="0"/>
                <w:sz w:val="24"/>
                <w:szCs w:val="21"/>
              </w:rPr>
              <w:t>产品本金和收益受风险因素影响很小。</w:t>
            </w:r>
          </w:p>
        </w:tc>
      </w:tr>
      <w:tr w:rsidR="00E57D5A" w:rsidTr="00E57D5A">
        <w:trPr>
          <w:trHeight w:val="103"/>
        </w:trPr>
        <w:tc>
          <w:tcPr>
            <w:tcW w:w="848" w:type="pct"/>
            <w:tcBorders>
              <w:top w:val="nil"/>
              <w:left w:val="single" w:sz="4" w:space="0" w:color="auto"/>
              <w:bottom w:val="single" w:sz="4" w:space="0" w:color="auto"/>
              <w:right w:val="single" w:sz="4" w:space="0" w:color="auto"/>
            </w:tcBorders>
            <w:vAlign w:val="center"/>
            <w:hideMark/>
          </w:tcPr>
          <w:p w:rsidR="00E57D5A" w:rsidRDefault="00E57D5A">
            <w:pPr>
              <w:widowControl/>
              <w:spacing w:line="276" w:lineRule="auto"/>
              <w:ind w:firstLine="0"/>
              <w:rPr>
                <w:rFonts w:ascii="仿宋_GB2312" w:eastAsia="仿宋_GB2312" w:hAnsi="宋体" w:cs="宋体"/>
                <w:kern w:val="0"/>
                <w:sz w:val="24"/>
                <w:szCs w:val="21"/>
              </w:rPr>
            </w:pPr>
            <w:r>
              <w:rPr>
                <w:rFonts w:ascii="仿宋_GB2312" w:eastAsia="仿宋_GB2312" w:hAnsi="宋体" w:cs="宋体" w:hint="eastAsia"/>
                <w:kern w:val="0"/>
                <w:sz w:val="24"/>
                <w:szCs w:val="21"/>
              </w:rPr>
              <w:t>二级</w:t>
            </w:r>
          </w:p>
        </w:tc>
        <w:tc>
          <w:tcPr>
            <w:tcW w:w="908" w:type="pct"/>
            <w:tcBorders>
              <w:top w:val="nil"/>
              <w:left w:val="nil"/>
              <w:bottom w:val="single" w:sz="4" w:space="0" w:color="auto"/>
              <w:right w:val="single" w:sz="4" w:space="0" w:color="auto"/>
            </w:tcBorders>
            <w:vAlign w:val="center"/>
            <w:hideMark/>
          </w:tcPr>
          <w:p w:rsidR="00E57D5A" w:rsidRDefault="00E57D5A">
            <w:pPr>
              <w:widowControl/>
              <w:spacing w:line="276" w:lineRule="auto"/>
              <w:ind w:firstLine="0"/>
              <w:rPr>
                <w:rFonts w:ascii="仿宋_GB2312" w:eastAsia="仿宋_GB2312" w:hAnsi="宋体" w:cs="宋体"/>
                <w:kern w:val="0"/>
                <w:sz w:val="24"/>
                <w:szCs w:val="21"/>
              </w:rPr>
            </w:pPr>
            <w:r>
              <w:rPr>
                <w:rFonts w:ascii="仿宋_GB2312" w:eastAsia="仿宋_GB2312" w:hAnsi="宋体" w:cs="宋体" w:hint="eastAsia"/>
                <w:kern w:val="0"/>
                <w:sz w:val="24"/>
                <w:szCs w:val="21"/>
              </w:rPr>
              <w:t>中低</w:t>
            </w:r>
          </w:p>
        </w:tc>
        <w:tc>
          <w:tcPr>
            <w:tcW w:w="3244" w:type="pct"/>
            <w:tcBorders>
              <w:top w:val="nil"/>
              <w:left w:val="nil"/>
              <w:bottom w:val="single" w:sz="4" w:space="0" w:color="auto"/>
              <w:right w:val="single" w:sz="4" w:space="0" w:color="auto"/>
            </w:tcBorders>
            <w:vAlign w:val="center"/>
            <w:hideMark/>
          </w:tcPr>
          <w:p w:rsidR="00E57D5A" w:rsidRDefault="00E57D5A">
            <w:pPr>
              <w:widowControl/>
              <w:spacing w:line="276" w:lineRule="auto"/>
              <w:ind w:firstLine="0"/>
              <w:rPr>
                <w:rFonts w:ascii="仿宋_GB2312" w:eastAsia="仿宋_GB2312" w:hAnsi="宋体" w:cs="宋体"/>
                <w:kern w:val="0"/>
                <w:sz w:val="24"/>
                <w:szCs w:val="21"/>
              </w:rPr>
            </w:pPr>
            <w:r>
              <w:rPr>
                <w:rFonts w:ascii="仿宋_GB2312" w:eastAsia="仿宋_GB2312" w:hAnsi="宋体" w:cs="宋体" w:hint="eastAsia"/>
                <w:kern w:val="0"/>
                <w:sz w:val="24"/>
                <w:szCs w:val="21"/>
              </w:rPr>
              <w:t>产品本金和收益受风险因素影响较小。</w:t>
            </w:r>
          </w:p>
        </w:tc>
      </w:tr>
      <w:tr w:rsidR="00E57D5A" w:rsidTr="00E57D5A">
        <w:trPr>
          <w:trHeight w:val="70"/>
        </w:trPr>
        <w:tc>
          <w:tcPr>
            <w:tcW w:w="848" w:type="pct"/>
            <w:tcBorders>
              <w:top w:val="nil"/>
              <w:left w:val="single" w:sz="4" w:space="0" w:color="auto"/>
              <w:bottom w:val="single" w:sz="4" w:space="0" w:color="auto"/>
              <w:right w:val="single" w:sz="4" w:space="0" w:color="auto"/>
            </w:tcBorders>
            <w:vAlign w:val="center"/>
            <w:hideMark/>
          </w:tcPr>
          <w:p w:rsidR="00E57D5A" w:rsidRDefault="00E57D5A">
            <w:pPr>
              <w:widowControl/>
              <w:spacing w:line="276" w:lineRule="auto"/>
              <w:ind w:firstLine="0"/>
              <w:rPr>
                <w:rFonts w:ascii="仿宋_GB2312" w:eastAsia="仿宋_GB2312" w:hAnsi="宋体" w:cs="宋体"/>
                <w:kern w:val="0"/>
                <w:sz w:val="24"/>
                <w:szCs w:val="21"/>
              </w:rPr>
            </w:pPr>
            <w:r>
              <w:rPr>
                <w:rFonts w:ascii="仿宋_GB2312" w:eastAsia="仿宋_GB2312" w:hAnsi="宋体" w:cs="宋体" w:hint="eastAsia"/>
                <w:kern w:val="0"/>
                <w:sz w:val="24"/>
                <w:szCs w:val="21"/>
              </w:rPr>
              <w:t>三级</w:t>
            </w:r>
          </w:p>
        </w:tc>
        <w:tc>
          <w:tcPr>
            <w:tcW w:w="908" w:type="pct"/>
            <w:tcBorders>
              <w:top w:val="nil"/>
              <w:left w:val="nil"/>
              <w:bottom w:val="single" w:sz="4" w:space="0" w:color="auto"/>
              <w:right w:val="single" w:sz="4" w:space="0" w:color="auto"/>
            </w:tcBorders>
            <w:vAlign w:val="center"/>
            <w:hideMark/>
          </w:tcPr>
          <w:p w:rsidR="00E57D5A" w:rsidRDefault="00E57D5A">
            <w:pPr>
              <w:widowControl/>
              <w:spacing w:line="276" w:lineRule="auto"/>
              <w:ind w:firstLine="0"/>
              <w:rPr>
                <w:rFonts w:ascii="仿宋_GB2312" w:eastAsia="仿宋_GB2312" w:hAnsi="宋体" w:cs="宋体"/>
                <w:kern w:val="0"/>
                <w:sz w:val="24"/>
                <w:szCs w:val="21"/>
              </w:rPr>
            </w:pPr>
            <w:r>
              <w:rPr>
                <w:rFonts w:ascii="仿宋_GB2312" w:eastAsia="仿宋_GB2312" w:hAnsi="宋体" w:cs="宋体" w:hint="eastAsia"/>
                <w:kern w:val="0"/>
                <w:sz w:val="24"/>
                <w:szCs w:val="21"/>
              </w:rPr>
              <w:t>中</w:t>
            </w:r>
          </w:p>
        </w:tc>
        <w:tc>
          <w:tcPr>
            <w:tcW w:w="3244" w:type="pct"/>
            <w:tcBorders>
              <w:top w:val="nil"/>
              <w:left w:val="nil"/>
              <w:bottom w:val="single" w:sz="4" w:space="0" w:color="auto"/>
              <w:right w:val="single" w:sz="4" w:space="0" w:color="auto"/>
            </w:tcBorders>
            <w:vAlign w:val="center"/>
            <w:hideMark/>
          </w:tcPr>
          <w:p w:rsidR="00E57D5A" w:rsidRDefault="00E57D5A">
            <w:pPr>
              <w:widowControl/>
              <w:spacing w:line="276" w:lineRule="auto"/>
              <w:ind w:firstLine="0"/>
              <w:rPr>
                <w:rFonts w:ascii="仿宋_GB2312" w:eastAsia="仿宋_GB2312" w:hAnsi="宋体" w:cs="宋体"/>
                <w:kern w:val="0"/>
                <w:sz w:val="24"/>
                <w:szCs w:val="21"/>
              </w:rPr>
            </w:pPr>
            <w:r>
              <w:rPr>
                <w:rFonts w:ascii="仿宋_GB2312" w:eastAsia="仿宋_GB2312" w:hAnsi="宋体" w:cs="宋体" w:hint="eastAsia"/>
                <w:kern w:val="0"/>
                <w:sz w:val="24"/>
                <w:szCs w:val="21"/>
              </w:rPr>
              <w:t>产品风险因素对本金和收益产生一定影响。</w:t>
            </w:r>
          </w:p>
        </w:tc>
      </w:tr>
      <w:tr w:rsidR="00E57D5A" w:rsidTr="00E57D5A">
        <w:trPr>
          <w:trHeight w:val="183"/>
        </w:trPr>
        <w:tc>
          <w:tcPr>
            <w:tcW w:w="848" w:type="pct"/>
            <w:tcBorders>
              <w:top w:val="nil"/>
              <w:left w:val="single" w:sz="4" w:space="0" w:color="auto"/>
              <w:bottom w:val="single" w:sz="4" w:space="0" w:color="auto"/>
              <w:right w:val="single" w:sz="4" w:space="0" w:color="auto"/>
            </w:tcBorders>
            <w:vAlign w:val="center"/>
            <w:hideMark/>
          </w:tcPr>
          <w:p w:rsidR="00E57D5A" w:rsidRDefault="00E57D5A">
            <w:pPr>
              <w:widowControl/>
              <w:spacing w:line="276" w:lineRule="auto"/>
              <w:ind w:firstLine="0"/>
              <w:rPr>
                <w:rFonts w:ascii="仿宋_GB2312" w:eastAsia="仿宋_GB2312" w:hAnsi="宋体" w:cs="宋体"/>
                <w:kern w:val="0"/>
                <w:sz w:val="24"/>
                <w:szCs w:val="21"/>
              </w:rPr>
            </w:pPr>
            <w:r>
              <w:rPr>
                <w:rFonts w:ascii="仿宋_GB2312" w:eastAsia="仿宋_GB2312" w:hAnsi="宋体" w:cs="宋体" w:hint="eastAsia"/>
                <w:kern w:val="0"/>
                <w:sz w:val="24"/>
                <w:szCs w:val="21"/>
              </w:rPr>
              <w:t>四级</w:t>
            </w:r>
          </w:p>
        </w:tc>
        <w:tc>
          <w:tcPr>
            <w:tcW w:w="908" w:type="pct"/>
            <w:tcBorders>
              <w:top w:val="nil"/>
              <w:left w:val="nil"/>
              <w:bottom w:val="single" w:sz="4" w:space="0" w:color="auto"/>
              <w:right w:val="single" w:sz="4" w:space="0" w:color="auto"/>
            </w:tcBorders>
            <w:vAlign w:val="center"/>
            <w:hideMark/>
          </w:tcPr>
          <w:p w:rsidR="00E57D5A" w:rsidRDefault="00E57D5A">
            <w:pPr>
              <w:widowControl/>
              <w:spacing w:line="276" w:lineRule="auto"/>
              <w:ind w:firstLine="0"/>
              <w:rPr>
                <w:rFonts w:ascii="仿宋_GB2312" w:eastAsia="仿宋_GB2312" w:hAnsi="宋体" w:cs="宋体"/>
                <w:kern w:val="0"/>
                <w:sz w:val="24"/>
                <w:szCs w:val="21"/>
              </w:rPr>
            </w:pPr>
            <w:r>
              <w:rPr>
                <w:rFonts w:ascii="仿宋_GB2312" w:eastAsia="仿宋_GB2312" w:hAnsi="宋体" w:cs="宋体" w:hint="eastAsia"/>
                <w:kern w:val="0"/>
                <w:sz w:val="24"/>
                <w:szCs w:val="21"/>
              </w:rPr>
              <w:t>中高</w:t>
            </w:r>
          </w:p>
        </w:tc>
        <w:tc>
          <w:tcPr>
            <w:tcW w:w="3244" w:type="pct"/>
            <w:tcBorders>
              <w:top w:val="nil"/>
              <w:left w:val="nil"/>
              <w:bottom w:val="single" w:sz="4" w:space="0" w:color="auto"/>
              <w:right w:val="single" w:sz="4" w:space="0" w:color="auto"/>
            </w:tcBorders>
            <w:vAlign w:val="center"/>
            <w:hideMark/>
          </w:tcPr>
          <w:p w:rsidR="00E57D5A" w:rsidRDefault="00E57D5A">
            <w:pPr>
              <w:widowControl/>
              <w:spacing w:line="276" w:lineRule="auto"/>
              <w:ind w:firstLine="0"/>
              <w:rPr>
                <w:rFonts w:ascii="仿宋_GB2312" w:eastAsia="仿宋_GB2312" w:hAnsi="宋体" w:cs="宋体"/>
                <w:kern w:val="0"/>
                <w:sz w:val="24"/>
                <w:szCs w:val="21"/>
              </w:rPr>
            </w:pPr>
            <w:r>
              <w:rPr>
                <w:rFonts w:ascii="仿宋_GB2312" w:eastAsia="仿宋_GB2312" w:hAnsi="宋体" w:cs="宋体" w:hint="eastAsia"/>
                <w:kern w:val="0"/>
                <w:sz w:val="24"/>
                <w:szCs w:val="21"/>
              </w:rPr>
              <w:t>产品风险因素可能对本金产生较大影响，产品结构存在一定复杂性。</w:t>
            </w:r>
          </w:p>
        </w:tc>
      </w:tr>
      <w:tr w:rsidR="00E57D5A" w:rsidTr="00E57D5A">
        <w:trPr>
          <w:trHeight w:val="273"/>
        </w:trPr>
        <w:tc>
          <w:tcPr>
            <w:tcW w:w="848" w:type="pct"/>
            <w:tcBorders>
              <w:top w:val="nil"/>
              <w:left w:val="single" w:sz="4" w:space="0" w:color="auto"/>
              <w:bottom w:val="single" w:sz="4" w:space="0" w:color="auto"/>
              <w:right w:val="single" w:sz="4" w:space="0" w:color="auto"/>
            </w:tcBorders>
            <w:vAlign w:val="center"/>
            <w:hideMark/>
          </w:tcPr>
          <w:p w:rsidR="00E57D5A" w:rsidRDefault="00E57D5A">
            <w:pPr>
              <w:widowControl/>
              <w:spacing w:line="276" w:lineRule="auto"/>
              <w:ind w:firstLine="0"/>
              <w:rPr>
                <w:rFonts w:ascii="仿宋_GB2312" w:eastAsia="仿宋_GB2312" w:hAnsi="宋体" w:cs="宋体"/>
                <w:kern w:val="0"/>
                <w:sz w:val="24"/>
                <w:szCs w:val="21"/>
              </w:rPr>
            </w:pPr>
            <w:r>
              <w:rPr>
                <w:rFonts w:ascii="仿宋_GB2312" w:eastAsia="仿宋_GB2312" w:hAnsi="宋体" w:cs="宋体" w:hint="eastAsia"/>
                <w:kern w:val="0"/>
                <w:sz w:val="24"/>
                <w:szCs w:val="21"/>
              </w:rPr>
              <w:t>五级</w:t>
            </w:r>
          </w:p>
        </w:tc>
        <w:tc>
          <w:tcPr>
            <w:tcW w:w="908" w:type="pct"/>
            <w:tcBorders>
              <w:top w:val="nil"/>
              <w:left w:val="nil"/>
              <w:bottom w:val="single" w:sz="4" w:space="0" w:color="auto"/>
              <w:right w:val="single" w:sz="4" w:space="0" w:color="auto"/>
            </w:tcBorders>
            <w:vAlign w:val="center"/>
            <w:hideMark/>
          </w:tcPr>
          <w:p w:rsidR="00E57D5A" w:rsidRDefault="00E57D5A">
            <w:pPr>
              <w:widowControl/>
              <w:spacing w:line="276" w:lineRule="auto"/>
              <w:ind w:firstLine="0"/>
              <w:rPr>
                <w:rFonts w:ascii="仿宋_GB2312" w:eastAsia="仿宋_GB2312" w:hAnsi="宋体" w:cs="宋体"/>
                <w:kern w:val="0"/>
                <w:sz w:val="24"/>
                <w:szCs w:val="21"/>
              </w:rPr>
            </w:pPr>
            <w:r>
              <w:rPr>
                <w:rFonts w:ascii="仿宋_GB2312" w:eastAsia="仿宋_GB2312" w:hAnsi="宋体" w:cs="宋体" w:hint="eastAsia"/>
                <w:kern w:val="0"/>
                <w:sz w:val="24"/>
                <w:szCs w:val="21"/>
              </w:rPr>
              <w:t>高</w:t>
            </w:r>
          </w:p>
        </w:tc>
        <w:tc>
          <w:tcPr>
            <w:tcW w:w="3244" w:type="pct"/>
            <w:tcBorders>
              <w:top w:val="nil"/>
              <w:left w:val="nil"/>
              <w:bottom w:val="single" w:sz="4" w:space="0" w:color="auto"/>
              <w:right w:val="single" w:sz="4" w:space="0" w:color="auto"/>
            </w:tcBorders>
            <w:vAlign w:val="center"/>
            <w:hideMark/>
          </w:tcPr>
          <w:p w:rsidR="00E57D5A" w:rsidRDefault="00E57D5A">
            <w:pPr>
              <w:widowControl/>
              <w:spacing w:line="276" w:lineRule="auto"/>
              <w:ind w:firstLine="0"/>
              <w:rPr>
                <w:rFonts w:ascii="仿宋_GB2312" w:eastAsia="仿宋_GB2312" w:hAnsi="宋体" w:cs="宋体"/>
                <w:kern w:val="0"/>
                <w:sz w:val="24"/>
                <w:szCs w:val="21"/>
              </w:rPr>
            </w:pPr>
            <w:r>
              <w:rPr>
                <w:rFonts w:ascii="仿宋_GB2312" w:eastAsia="仿宋_GB2312" w:hAnsi="宋体" w:cs="宋体" w:hint="eastAsia"/>
                <w:kern w:val="0"/>
                <w:sz w:val="24"/>
                <w:szCs w:val="21"/>
              </w:rPr>
              <w:t>产品风险因素可能对本金造成重大损失，产品结构较为复杂。</w:t>
            </w:r>
          </w:p>
        </w:tc>
      </w:tr>
    </w:tbl>
    <w:p w:rsidR="00E57D5A" w:rsidRDefault="00E57D5A" w:rsidP="00E57D5A">
      <w:pPr>
        <w:spacing w:after="120" w:line="276" w:lineRule="auto"/>
        <w:ind w:firstLine="0"/>
        <w:outlineLvl w:val="0"/>
        <w:rPr>
          <w:rFonts w:ascii="宋体" w:hAnsi="宋体"/>
        </w:rPr>
      </w:pPr>
      <w:r>
        <w:rPr>
          <w:rFonts w:ascii="宋体" w:hAnsi="宋体" w:hint="eastAsia"/>
        </w:rPr>
        <w:lastRenderedPageBreak/>
        <w:t>(*本评级为银行内部评级，仅供参考)</w:t>
      </w:r>
    </w:p>
    <w:p w:rsidR="00E57D5A" w:rsidRDefault="00E57D5A" w:rsidP="00E57D5A">
      <w:pPr>
        <w:spacing w:line="276" w:lineRule="auto"/>
        <w:ind w:firstLineChars="200" w:firstLine="480"/>
        <w:rPr>
          <w:rFonts w:ascii="宋体" w:hAnsi="宋体"/>
          <w:sz w:val="24"/>
        </w:rPr>
      </w:pPr>
      <w:r>
        <w:rPr>
          <w:rFonts w:ascii="宋体" w:hAnsi="宋体" w:hint="eastAsia"/>
          <w:sz w:val="24"/>
        </w:rPr>
        <w:t>产品资产投向、投资比例以及投资策略详见产品说明书。</w:t>
      </w:r>
      <w:r>
        <w:rPr>
          <w:rFonts w:ascii="宋体" w:hAnsi="宋体" w:hint="eastAsia"/>
          <w:b/>
          <w:sz w:val="24"/>
        </w:rPr>
        <w:t>同类产品参考业绩比较基准不是理财产品预期收益率，不代表投资者可能获得的实际收益，仅作为产品投资管理的业绩目标，并用于计算浮动管理费用，不构成对本理财产品的任何收益承诺或担保。</w:t>
      </w:r>
    </w:p>
    <w:p w:rsidR="00E57D5A" w:rsidRDefault="00E57D5A" w:rsidP="00E57D5A">
      <w:pPr>
        <w:pStyle w:val="a4"/>
        <w:spacing w:line="276" w:lineRule="auto"/>
        <w:outlineLvl w:val="0"/>
        <w:rPr>
          <w:rFonts w:hAnsi="宋体"/>
          <w:color w:val="auto"/>
          <w:sz w:val="28"/>
          <w:szCs w:val="28"/>
        </w:rPr>
      </w:pPr>
      <w:r>
        <w:rPr>
          <w:rFonts w:hAnsi="宋体" w:hint="eastAsia"/>
          <w:b/>
          <w:bCs w:val="0"/>
          <w:color w:val="auto"/>
          <w:sz w:val="28"/>
          <w:szCs w:val="28"/>
        </w:rPr>
        <w:t>三、信息披露</w:t>
      </w:r>
    </w:p>
    <w:p w:rsidR="00E57D5A" w:rsidRDefault="00E57D5A" w:rsidP="00E57D5A">
      <w:pPr>
        <w:spacing w:line="276" w:lineRule="auto"/>
        <w:ind w:firstLineChars="150" w:firstLine="360"/>
        <w:rPr>
          <w:rFonts w:ascii="宋体" w:hAnsi="宋体" w:cs="宋体"/>
          <w:kern w:val="0"/>
          <w:sz w:val="24"/>
          <w:szCs w:val="24"/>
        </w:rPr>
      </w:pPr>
      <w:r>
        <w:rPr>
          <w:rFonts w:ascii="宋体" w:hAnsi="宋体" w:cs="宋体" w:hint="eastAsia"/>
          <w:kern w:val="0"/>
          <w:sz w:val="24"/>
          <w:szCs w:val="24"/>
        </w:rPr>
        <w:t xml:space="preserve">（一）理财产品运作信息披露  </w:t>
      </w:r>
    </w:p>
    <w:p w:rsidR="00E57D5A" w:rsidRDefault="00E57D5A" w:rsidP="00E57D5A">
      <w:pPr>
        <w:ind w:firstLineChars="200" w:firstLine="480"/>
        <w:rPr>
          <w:rFonts w:ascii="宋体" w:hAnsi="宋体"/>
          <w:sz w:val="24"/>
          <w:szCs w:val="24"/>
        </w:rPr>
      </w:pPr>
      <w:r>
        <w:rPr>
          <w:rFonts w:ascii="宋体" w:hAnsi="宋体" w:hint="eastAsia"/>
          <w:sz w:val="24"/>
          <w:szCs w:val="24"/>
        </w:rPr>
        <w:t>1、本理财产品成立后，理财产品管理人在每个开放日（T日）结束后的2个工作日内，通过广州农商银行网站（www.grcbank.com），披露T日的理财产品份额净值、份额累计净值。理财产品管理人可能在上述净值披露规则的基础上增加净值披露频率，具体请以官方渠道发布信息为准。</w:t>
      </w:r>
    </w:p>
    <w:p w:rsidR="00E57D5A" w:rsidRDefault="00E57D5A" w:rsidP="00E57D5A">
      <w:pPr>
        <w:ind w:firstLineChars="200" w:firstLine="480"/>
        <w:rPr>
          <w:rFonts w:ascii="宋体" w:hAnsi="宋体"/>
          <w:sz w:val="24"/>
          <w:szCs w:val="24"/>
        </w:rPr>
      </w:pPr>
      <w:r>
        <w:rPr>
          <w:rFonts w:ascii="宋体" w:hAnsi="宋体" w:hint="eastAsia"/>
          <w:sz w:val="24"/>
          <w:szCs w:val="24"/>
        </w:rPr>
        <w:t>2、理财产品管理人应当定期向投资人披露投资状况、投资表现、风险状况等信息，并通过广州农商银行网站（www.grcbank.com）进行公告。理财</w:t>
      </w:r>
      <w:r>
        <w:rPr>
          <w:rStyle w:val="fontstyle01"/>
          <w:rFonts w:hint="eastAsia"/>
        </w:rPr>
        <w:t>产品管理人应当在每季度结束之日起</w:t>
      </w:r>
      <w:r>
        <w:rPr>
          <w:rStyle w:val="fontstyle01"/>
        </w:rPr>
        <w:t>15</w:t>
      </w:r>
      <w:r>
        <w:rPr>
          <w:rStyle w:val="fontstyle01"/>
          <w:rFonts w:hint="eastAsia"/>
        </w:rPr>
        <w:t>个工作日内，编制完成产品季度报告；应当在上半年结束之日起</w:t>
      </w:r>
      <w:r>
        <w:rPr>
          <w:rStyle w:val="fontstyle01"/>
        </w:rPr>
        <w:t>60</w:t>
      </w:r>
      <w:r>
        <w:rPr>
          <w:rStyle w:val="fontstyle01"/>
          <w:rFonts w:hint="eastAsia"/>
        </w:rPr>
        <w:t>个工作日内，编制完成产品半年度报告；应当在每年结束之日起</w:t>
      </w:r>
      <w:r>
        <w:rPr>
          <w:rStyle w:val="fontstyle01"/>
        </w:rPr>
        <w:t>90</w:t>
      </w:r>
      <w:r>
        <w:rPr>
          <w:rStyle w:val="fontstyle01"/>
          <w:rFonts w:hint="eastAsia"/>
        </w:rPr>
        <w:t>个工作日内，编制完成产品年度报告。逢半年末，半年报与当季季度报告合并；逢年末，年度报告与半年度报告合并。理财产品成立不足</w:t>
      </w:r>
      <w:r>
        <w:rPr>
          <w:rStyle w:val="fontstyle01"/>
        </w:rPr>
        <w:t>90</w:t>
      </w:r>
      <w:r>
        <w:rPr>
          <w:rStyle w:val="fontstyle01"/>
          <w:rFonts w:hint="eastAsia"/>
        </w:rPr>
        <w:t>个工作日或者剩余存续期不超过</w:t>
      </w:r>
      <w:r>
        <w:rPr>
          <w:rStyle w:val="fontstyle01"/>
        </w:rPr>
        <w:t>90</w:t>
      </w:r>
      <w:r>
        <w:rPr>
          <w:rStyle w:val="fontstyle01"/>
          <w:rFonts w:hint="eastAsia"/>
        </w:rPr>
        <w:t>个工作日的，理财产品管理人可以不编制理财产品当期的季度、半年和年度报告。</w:t>
      </w:r>
      <w:r>
        <w:rPr>
          <w:rFonts w:ascii="宋体" w:hAnsi="宋体" w:hint="eastAsia"/>
          <w:sz w:val="24"/>
          <w:szCs w:val="24"/>
        </w:rPr>
        <w:t xml:space="preserve">  </w:t>
      </w:r>
    </w:p>
    <w:p w:rsidR="00E57D5A" w:rsidRDefault="00E57D5A" w:rsidP="00E57D5A">
      <w:pPr>
        <w:ind w:firstLineChars="200" w:firstLine="480"/>
        <w:rPr>
          <w:rFonts w:ascii="宋体" w:hAnsi="宋体"/>
          <w:sz w:val="24"/>
          <w:szCs w:val="24"/>
        </w:rPr>
      </w:pPr>
      <w:r>
        <w:rPr>
          <w:rFonts w:ascii="宋体" w:hAnsi="宋体" w:hint="eastAsia"/>
          <w:sz w:val="24"/>
          <w:szCs w:val="24"/>
        </w:rPr>
        <w:t>3、如理财产品管理人决定本理财计划不成立，将在决定理财计划不成立后的1个工作日，在广州农商银行网站（www.grcbank.com</w:t>
      </w:r>
      <w:r w:rsidR="006F45F3">
        <w:rPr>
          <w:rFonts w:ascii="宋体" w:hAnsi="宋体" w:hint="eastAsia"/>
          <w:sz w:val="24"/>
          <w:szCs w:val="24"/>
        </w:rPr>
        <w:t>）或</w:t>
      </w:r>
      <w:r w:rsidR="00815F23">
        <w:rPr>
          <w:rFonts w:ascii="宋体" w:hAnsi="宋体" w:hint="eastAsia"/>
          <w:sz w:val="24"/>
          <w:szCs w:val="24"/>
        </w:rPr>
        <w:t>代销银行</w:t>
      </w:r>
      <w:r w:rsidR="006F45F3">
        <w:rPr>
          <w:rFonts w:ascii="宋体" w:hAnsi="宋体" w:hint="eastAsia"/>
          <w:sz w:val="24"/>
          <w:szCs w:val="24"/>
        </w:rPr>
        <w:t>网点</w:t>
      </w:r>
      <w:r>
        <w:rPr>
          <w:rFonts w:ascii="宋体" w:hAnsi="宋体" w:hint="eastAsia"/>
          <w:sz w:val="24"/>
          <w:szCs w:val="24"/>
        </w:rPr>
        <w:t xml:space="preserve">发布相关信息公告。  </w:t>
      </w:r>
    </w:p>
    <w:p w:rsidR="00E57D5A" w:rsidRDefault="00E57D5A" w:rsidP="00E57D5A">
      <w:pPr>
        <w:ind w:firstLineChars="200" w:firstLine="480"/>
        <w:rPr>
          <w:rFonts w:ascii="宋体" w:hAnsi="宋体"/>
          <w:sz w:val="24"/>
          <w:szCs w:val="24"/>
        </w:rPr>
      </w:pPr>
      <w:r>
        <w:rPr>
          <w:rFonts w:ascii="宋体" w:hAnsi="宋体" w:hint="eastAsia"/>
          <w:sz w:val="24"/>
          <w:szCs w:val="24"/>
        </w:rPr>
        <w:t>4、如理财产品管理人决定提前终止本理财产品，将于提前终止日的前2个工作日，在广州农商银行网站（www.grcbank.com）</w:t>
      </w:r>
      <w:r w:rsidR="006F45F3">
        <w:rPr>
          <w:rFonts w:ascii="宋体" w:hAnsi="宋体" w:hint="eastAsia"/>
          <w:sz w:val="24"/>
          <w:szCs w:val="24"/>
        </w:rPr>
        <w:t>或</w:t>
      </w:r>
      <w:r w:rsidR="00815F23">
        <w:rPr>
          <w:rFonts w:ascii="宋体" w:hAnsi="宋体" w:hint="eastAsia"/>
          <w:sz w:val="24"/>
          <w:szCs w:val="24"/>
        </w:rPr>
        <w:t>代销银行</w:t>
      </w:r>
      <w:r w:rsidR="006F45F3">
        <w:rPr>
          <w:rFonts w:ascii="宋体" w:hAnsi="宋体" w:hint="eastAsia"/>
          <w:sz w:val="24"/>
          <w:szCs w:val="24"/>
        </w:rPr>
        <w:t>网点</w:t>
      </w:r>
      <w:r>
        <w:rPr>
          <w:rFonts w:ascii="宋体" w:hAnsi="宋体" w:hint="eastAsia"/>
          <w:sz w:val="24"/>
          <w:szCs w:val="24"/>
        </w:rPr>
        <w:t xml:space="preserve">发布相关信息公告。  </w:t>
      </w:r>
    </w:p>
    <w:p w:rsidR="00E57D5A" w:rsidRDefault="00E57D5A" w:rsidP="00E57D5A">
      <w:pPr>
        <w:ind w:firstLineChars="200" w:firstLine="480"/>
        <w:rPr>
          <w:rFonts w:ascii="宋体" w:hAnsi="宋体"/>
          <w:sz w:val="24"/>
          <w:szCs w:val="24"/>
        </w:rPr>
      </w:pPr>
      <w:r>
        <w:rPr>
          <w:rFonts w:ascii="宋体" w:hAnsi="宋体" w:hint="eastAsia"/>
          <w:sz w:val="24"/>
          <w:szCs w:val="24"/>
        </w:rPr>
        <w:t>5、理财产品管理人将在本说明书约定的理财计划到期日后2个工作日内，在广州农商银行网站（www.grcbank.com）</w:t>
      </w:r>
      <w:r w:rsidR="006F45F3" w:rsidRPr="000022CC">
        <w:rPr>
          <w:rFonts w:ascii="Segoe UI" w:hAnsi="Segoe UI" w:cs="Segoe UI"/>
          <w:kern w:val="0"/>
          <w:sz w:val="24"/>
          <w:szCs w:val="24"/>
        </w:rPr>
        <w:t>或代销银行网点</w:t>
      </w:r>
      <w:r>
        <w:rPr>
          <w:rFonts w:ascii="宋体" w:hAnsi="宋体" w:hint="eastAsia"/>
          <w:sz w:val="24"/>
          <w:szCs w:val="24"/>
        </w:rPr>
        <w:t>发布相关信息公告。</w:t>
      </w:r>
    </w:p>
    <w:p w:rsidR="00E57D5A" w:rsidRDefault="00E57D5A" w:rsidP="00E57D5A">
      <w:pPr>
        <w:spacing w:line="276" w:lineRule="auto"/>
        <w:ind w:firstLineChars="150" w:firstLine="360"/>
        <w:rPr>
          <w:rFonts w:ascii="宋体" w:hAnsi="宋体" w:cs="宋体"/>
          <w:kern w:val="0"/>
          <w:sz w:val="24"/>
          <w:szCs w:val="24"/>
        </w:rPr>
      </w:pPr>
      <w:r>
        <w:rPr>
          <w:rFonts w:ascii="宋体" w:hAnsi="宋体" w:cs="宋体" w:hint="eastAsia"/>
          <w:kern w:val="0"/>
          <w:sz w:val="24"/>
          <w:szCs w:val="24"/>
        </w:rPr>
        <w:t xml:space="preserve">（二）理财产品临时信息披露  </w:t>
      </w:r>
    </w:p>
    <w:p w:rsidR="00E57D5A" w:rsidRDefault="00E57D5A" w:rsidP="00E57D5A">
      <w:pPr>
        <w:spacing w:line="276" w:lineRule="auto"/>
        <w:ind w:firstLineChars="150" w:firstLine="360"/>
        <w:rPr>
          <w:rFonts w:ascii="宋体" w:hAnsi="宋体" w:cs="宋体"/>
          <w:kern w:val="0"/>
          <w:sz w:val="24"/>
          <w:szCs w:val="24"/>
        </w:rPr>
      </w:pPr>
      <w:r>
        <w:rPr>
          <w:rFonts w:ascii="宋体" w:hAnsi="宋体" w:cs="宋体" w:hint="eastAsia"/>
          <w:kern w:val="0"/>
          <w:sz w:val="24"/>
          <w:szCs w:val="24"/>
        </w:rPr>
        <w:t xml:space="preserve">本理财产品在运作管理过程中，发生以下可能对理财产品份额持有人权益及理财产品份额的交易价格产生重大影响的事项之一时，理财产品管理人或理财产品托管人将按照法律、法规及中国银监会的有关规定及时披露并在广州农商银行网站（www.grcbank.com）上公告。  </w:t>
      </w:r>
    </w:p>
    <w:p w:rsidR="00E57D5A" w:rsidRDefault="00E57D5A" w:rsidP="00E57D5A">
      <w:pPr>
        <w:ind w:firstLineChars="200" w:firstLine="480"/>
        <w:rPr>
          <w:rFonts w:ascii="宋体" w:hAnsi="宋体"/>
          <w:sz w:val="24"/>
          <w:szCs w:val="24"/>
        </w:rPr>
      </w:pPr>
      <w:r>
        <w:rPr>
          <w:rFonts w:ascii="宋体" w:hAnsi="宋体" w:hint="eastAsia"/>
          <w:sz w:val="24"/>
          <w:szCs w:val="24"/>
        </w:rPr>
        <w:t xml:space="preserve">（1）终止理财产品； </w:t>
      </w:r>
    </w:p>
    <w:p w:rsidR="00E57D5A" w:rsidRDefault="00E57D5A" w:rsidP="00E57D5A">
      <w:pPr>
        <w:ind w:firstLineChars="200" w:firstLine="480"/>
        <w:rPr>
          <w:rFonts w:ascii="宋体" w:hAnsi="宋体"/>
          <w:sz w:val="24"/>
          <w:szCs w:val="24"/>
        </w:rPr>
      </w:pPr>
      <w:r>
        <w:rPr>
          <w:rFonts w:ascii="宋体" w:hAnsi="宋体" w:hint="eastAsia"/>
          <w:sz w:val="24"/>
          <w:szCs w:val="24"/>
        </w:rPr>
        <w:t xml:space="preserve">（2）转换理财产品运作方式； </w:t>
      </w:r>
    </w:p>
    <w:p w:rsidR="00E57D5A" w:rsidRDefault="00E57D5A" w:rsidP="00E57D5A">
      <w:pPr>
        <w:ind w:firstLineChars="200" w:firstLine="480"/>
        <w:rPr>
          <w:rFonts w:ascii="宋体" w:hAnsi="宋体"/>
          <w:sz w:val="24"/>
          <w:szCs w:val="24"/>
        </w:rPr>
      </w:pPr>
      <w:r>
        <w:rPr>
          <w:rFonts w:ascii="宋体" w:hAnsi="宋体" w:hint="eastAsia"/>
          <w:sz w:val="24"/>
          <w:szCs w:val="24"/>
        </w:rPr>
        <w:t xml:space="preserve">（3）更换理财产品托管人； </w:t>
      </w:r>
    </w:p>
    <w:p w:rsidR="00E57D5A" w:rsidRDefault="00E57D5A" w:rsidP="00E57D5A">
      <w:pPr>
        <w:ind w:firstLineChars="200" w:firstLine="480"/>
        <w:rPr>
          <w:rFonts w:ascii="宋体" w:hAnsi="宋体"/>
          <w:sz w:val="24"/>
          <w:szCs w:val="24"/>
        </w:rPr>
      </w:pPr>
      <w:r>
        <w:rPr>
          <w:rFonts w:ascii="宋体" w:hAnsi="宋体" w:hint="eastAsia"/>
          <w:sz w:val="24"/>
          <w:szCs w:val="24"/>
        </w:rPr>
        <w:t xml:space="preserve">（4）理财产品认购期延长； </w:t>
      </w:r>
    </w:p>
    <w:p w:rsidR="00E57D5A" w:rsidRDefault="00E57D5A" w:rsidP="00E57D5A">
      <w:pPr>
        <w:ind w:firstLineChars="200" w:firstLine="480"/>
        <w:rPr>
          <w:rFonts w:ascii="宋体" w:hAnsi="宋体"/>
          <w:sz w:val="24"/>
          <w:szCs w:val="24"/>
        </w:rPr>
      </w:pPr>
      <w:r>
        <w:rPr>
          <w:rFonts w:ascii="宋体" w:hAnsi="宋体" w:hint="eastAsia"/>
          <w:sz w:val="24"/>
          <w:szCs w:val="24"/>
        </w:rPr>
        <w:t xml:space="preserve">（5）涉及理财产品管理业务、理财产品财产、理财产品托管业务的重大诉讼； </w:t>
      </w:r>
    </w:p>
    <w:p w:rsidR="00E57D5A" w:rsidRDefault="00E57D5A" w:rsidP="00E57D5A">
      <w:pPr>
        <w:ind w:firstLineChars="200" w:firstLine="480"/>
        <w:rPr>
          <w:rFonts w:ascii="宋体" w:hAnsi="宋体"/>
          <w:sz w:val="24"/>
          <w:szCs w:val="24"/>
        </w:rPr>
      </w:pPr>
      <w:r>
        <w:rPr>
          <w:rFonts w:ascii="宋体" w:hAnsi="宋体" w:hint="eastAsia"/>
          <w:sz w:val="24"/>
          <w:szCs w:val="24"/>
        </w:rPr>
        <w:t xml:space="preserve">（6）理财产品收益分配事项； </w:t>
      </w:r>
    </w:p>
    <w:p w:rsidR="00E57D5A" w:rsidRDefault="00E57D5A" w:rsidP="00E57D5A">
      <w:pPr>
        <w:ind w:firstLineChars="200" w:firstLine="480"/>
        <w:rPr>
          <w:rFonts w:ascii="宋体" w:hAnsi="宋体"/>
          <w:sz w:val="24"/>
          <w:szCs w:val="24"/>
        </w:rPr>
      </w:pPr>
      <w:r>
        <w:rPr>
          <w:rFonts w:ascii="宋体" w:hAnsi="宋体" w:hint="eastAsia"/>
          <w:sz w:val="24"/>
          <w:szCs w:val="24"/>
        </w:rPr>
        <w:t xml:space="preserve">（7）固定管理费、销售费及托管费等费用计提标准、计提方式和费率发生变更； </w:t>
      </w:r>
    </w:p>
    <w:p w:rsidR="00E57D5A" w:rsidRDefault="00E57D5A" w:rsidP="00E57D5A">
      <w:pPr>
        <w:ind w:firstLineChars="200" w:firstLine="480"/>
        <w:rPr>
          <w:rFonts w:ascii="宋体" w:hAnsi="宋体"/>
          <w:sz w:val="24"/>
          <w:szCs w:val="24"/>
        </w:rPr>
      </w:pPr>
      <w:r>
        <w:rPr>
          <w:rFonts w:ascii="宋体" w:hAnsi="宋体" w:hint="eastAsia"/>
          <w:sz w:val="24"/>
          <w:szCs w:val="24"/>
        </w:rPr>
        <w:lastRenderedPageBreak/>
        <w:t>（8）理财产品暂停估值；</w:t>
      </w:r>
    </w:p>
    <w:p w:rsidR="00E57D5A" w:rsidRDefault="00E57D5A" w:rsidP="00E57D5A">
      <w:pPr>
        <w:ind w:firstLineChars="200" w:firstLine="480"/>
        <w:rPr>
          <w:rFonts w:ascii="宋体" w:hAnsi="宋体"/>
          <w:sz w:val="24"/>
          <w:szCs w:val="24"/>
        </w:rPr>
      </w:pPr>
      <w:r>
        <w:rPr>
          <w:rFonts w:ascii="宋体" w:hAnsi="宋体" w:hint="eastAsia"/>
          <w:sz w:val="24"/>
          <w:szCs w:val="24"/>
        </w:rPr>
        <w:t>（9）理财产品延期兑付；</w:t>
      </w:r>
    </w:p>
    <w:p w:rsidR="00E57D5A" w:rsidRDefault="00E57D5A" w:rsidP="00E57D5A">
      <w:pPr>
        <w:ind w:firstLineChars="200" w:firstLine="480"/>
        <w:rPr>
          <w:rFonts w:ascii="宋体" w:hAnsi="宋体"/>
          <w:sz w:val="24"/>
          <w:szCs w:val="24"/>
        </w:rPr>
      </w:pPr>
      <w:r>
        <w:rPr>
          <w:rFonts w:ascii="宋体" w:hAnsi="宋体" w:hint="eastAsia"/>
          <w:sz w:val="24"/>
          <w:szCs w:val="24"/>
        </w:rPr>
        <w:t xml:space="preserve">（10）理财产品同类产品参考业绩比较基准调整； </w:t>
      </w:r>
    </w:p>
    <w:p w:rsidR="00E57D5A" w:rsidRDefault="00E57D5A" w:rsidP="00E57D5A">
      <w:pPr>
        <w:ind w:firstLineChars="200" w:firstLine="480"/>
        <w:rPr>
          <w:rFonts w:ascii="宋体" w:hAnsi="宋体"/>
          <w:sz w:val="24"/>
          <w:szCs w:val="24"/>
        </w:rPr>
      </w:pPr>
      <w:r>
        <w:rPr>
          <w:rFonts w:ascii="宋体" w:hAnsi="宋体" w:hint="eastAsia"/>
          <w:sz w:val="24"/>
          <w:szCs w:val="24"/>
        </w:rPr>
        <w:t>（11）在发生产品管理人拒绝或暂停接受投资者认购/申购申请、暂停接受投资者赎回申请、延缓支付赎回款项、巨额赎回、暂停产品估值等情形时，理财产品管理人将于3个交易日内告知投资者，并说明运用相关措施的原因和拟采取的应对安排，并说明有关处理方法；</w:t>
      </w:r>
    </w:p>
    <w:p w:rsidR="00E57D5A" w:rsidRDefault="00E57D5A" w:rsidP="00E57D5A">
      <w:pPr>
        <w:ind w:firstLineChars="200" w:firstLine="480"/>
        <w:rPr>
          <w:rFonts w:ascii="宋体" w:hAnsi="宋体"/>
          <w:sz w:val="24"/>
          <w:szCs w:val="24"/>
        </w:rPr>
      </w:pPr>
      <w:r>
        <w:rPr>
          <w:rFonts w:ascii="宋体" w:hAnsi="宋体" w:hint="eastAsia"/>
          <w:sz w:val="24"/>
          <w:szCs w:val="24"/>
        </w:rPr>
        <w:t xml:space="preserve">（12）其它应披露的事项。    </w:t>
      </w:r>
    </w:p>
    <w:p w:rsidR="00E57D5A" w:rsidRDefault="00E57D5A" w:rsidP="00E57D5A">
      <w:pPr>
        <w:spacing w:line="276" w:lineRule="auto"/>
        <w:ind w:firstLineChars="150" w:firstLine="360"/>
        <w:rPr>
          <w:rFonts w:ascii="宋体" w:hAnsi="宋体" w:cs="宋体"/>
          <w:kern w:val="0"/>
          <w:sz w:val="24"/>
          <w:szCs w:val="24"/>
        </w:rPr>
      </w:pPr>
      <w:r>
        <w:rPr>
          <w:rFonts w:ascii="宋体" w:hAnsi="宋体" w:cs="宋体" w:hint="eastAsia"/>
          <w:kern w:val="0"/>
          <w:sz w:val="24"/>
          <w:szCs w:val="24"/>
        </w:rPr>
        <w:t>（三）在本产品存续期间，广州农商银行可提前通过本银行门户网站（www.grcbank.com）、各指定营业网点发布相关信息，对投资范围、投资品种、投资比例或产品说明书其他条款进行补充、说明和修改。</w:t>
      </w:r>
    </w:p>
    <w:p w:rsidR="00E57D5A" w:rsidRDefault="00E57D5A" w:rsidP="00E57D5A">
      <w:pPr>
        <w:spacing w:line="276" w:lineRule="auto"/>
        <w:ind w:firstLineChars="200" w:firstLine="480"/>
        <w:rPr>
          <w:rFonts w:ascii="宋体" w:hAnsi="宋体" w:cs="宋体"/>
          <w:kern w:val="0"/>
          <w:sz w:val="24"/>
          <w:szCs w:val="24"/>
        </w:rPr>
      </w:pPr>
      <w:r>
        <w:rPr>
          <w:rFonts w:ascii="宋体" w:hAnsi="宋体" w:cs="宋体" w:hint="eastAsia"/>
          <w:kern w:val="0"/>
          <w:sz w:val="24"/>
          <w:szCs w:val="24"/>
        </w:rPr>
        <w:t xml:space="preserve">客户如不同意补充或修改后的说明书，可根据广州农商银行的通知或公告在预设开放日或者新增开放日赎回投资本金和收益（如有）。  </w:t>
      </w:r>
    </w:p>
    <w:p w:rsidR="00E57D5A" w:rsidRDefault="00E57D5A" w:rsidP="00E57D5A">
      <w:pPr>
        <w:spacing w:line="276" w:lineRule="auto"/>
        <w:ind w:firstLineChars="146" w:firstLine="352"/>
        <w:rPr>
          <w:rFonts w:ascii="宋体" w:hAnsi="宋体"/>
          <w:b/>
          <w:bCs/>
          <w:sz w:val="24"/>
          <w:szCs w:val="24"/>
        </w:rPr>
      </w:pPr>
      <w:r>
        <w:rPr>
          <w:rFonts w:ascii="宋体" w:hAnsi="宋体" w:hint="eastAsia"/>
          <w:b/>
          <w:bCs/>
          <w:sz w:val="24"/>
          <w:szCs w:val="24"/>
        </w:rPr>
        <w:t>（四）</w:t>
      </w:r>
      <w:r>
        <w:rPr>
          <w:rFonts w:ascii="宋体" w:hAnsi="宋体" w:hint="eastAsia"/>
          <w:b/>
          <w:bCs/>
          <w:sz w:val="24"/>
          <w:szCs w:val="24"/>
          <w:u w:val="single"/>
        </w:rPr>
        <w:t>广州农村商业银行通过上述网站进行信息披露，如果投资者未及时查询，或由于通讯故障、系统故障以及其他不可抗力等因素的影响使得投资者无法及时了解产品信息，因此而产生的（包括但不限于因未及时获知信息而错过资金使用和再投资的机会等）全部责任和风险，由投资者自行承担。</w:t>
      </w:r>
    </w:p>
    <w:p w:rsidR="00E57D5A" w:rsidRDefault="00E57D5A" w:rsidP="00E57D5A">
      <w:pPr>
        <w:spacing w:after="120" w:line="276" w:lineRule="auto"/>
        <w:ind w:firstLineChars="150" w:firstLine="360"/>
        <w:rPr>
          <w:rFonts w:ascii="宋体" w:hAnsi="宋体"/>
          <w:sz w:val="24"/>
          <w:szCs w:val="24"/>
        </w:rPr>
      </w:pPr>
      <w:r>
        <w:rPr>
          <w:rFonts w:ascii="宋体" w:hAnsi="宋体" w:hint="eastAsia"/>
          <w:bCs/>
          <w:sz w:val="24"/>
          <w:szCs w:val="24"/>
        </w:rPr>
        <w:t>（五）</w:t>
      </w:r>
      <w:r>
        <w:rPr>
          <w:rFonts w:ascii="宋体" w:hAnsi="宋体" w:hint="eastAsia"/>
          <w:b/>
          <w:sz w:val="24"/>
          <w:u w:val="single"/>
        </w:rPr>
        <w:t>根据本产品在理财登记系统取得的产品登记编码，投资者可在“中国理财网（www.chinawealth.com.cn）”上查询产品信息。</w:t>
      </w:r>
    </w:p>
    <w:p w:rsidR="00E57D5A" w:rsidRDefault="00E57D5A" w:rsidP="00E57D5A">
      <w:pPr>
        <w:pStyle w:val="a4"/>
        <w:spacing w:line="276" w:lineRule="auto"/>
        <w:outlineLvl w:val="0"/>
        <w:rPr>
          <w:rFonts w:hAnsi="宋体"/>
          <w:color w:val="auto"/>
          <w:sz w:val="28"/>
          <w:szCs w:val="28"/>
        </w:rPr>
      </w:pPr>
      <w:r>
        <w:rPr>
          <w:rFonts w:hAnsi="宋体" w:hint="eastAsia"/>
          <w:b/>
          <w:bCs w:val="0"/>
          <w:color w:val="auto"/>
          <w:sz w:val="28"/>
          <w:szCs w:val="28"/>
        </w:rPr>
        <w:t>四、投诉处理和联系方式</w:t>
      </w:r>
    </w:p>
    <w:p w:rsidR="00E57D5A" w:rsidRDefault="00E57D5A" w:rsidP="00E57D5A">
      <w:pPr>
        <w:spacing w:line="276" w:lineRule="auto"/>
        <w:ind w:firstLineChars="150" w:firstLine="360"/>
        <w:rPr>
          <w:rFonts w:ascii="宋体" w:hAnsi="宋体"/>
          <w:sz w:val="24"/>
          <w:szCs w:val="24"/>
        </w:rPr>
      </w:pPr>
      <w:r>
        <w:rPr>
          <w:rFonts w:ascii="宋体" w:hAnsi="宋体" w:hint="eastAsia"/>
          <w:sz w:val="24"/>
        </w:rPr>
        <w:t>客户可以通过拨打广州农村商业</w:t>
      </w:r>
      <w:r w:rsidR="00736BC2">
        <w:rPr>
          <w:rFonts w:ascii="宋体" w:hAnsi="宋体" w:hint="eastAsia"/>
          <w:sz w:val="24"/>
        </w:rPr>
        <w:t>银行客户服务中心电话或以书信等方式，联系银行人员，或到</w:t>
      </w:r>
      <w:r w:rsidR="00815F23">
        <w:rPr>
          <w:rFonts w:ascii="宋体" w:hAnsi="宋体" w:hint="eastAsia"/>
          <w:sz w:val="24"/>
        </w:rPr>
        <w:t>代销银行</w:t>
      </w:r>
      <w:r>
        <w:rPr>
          <w:rFonts w:ascii="宋体" w:hAnsi="宋体" w:hint="eastAsia"/>
          <w:sz w:val="24"/>
        </w:rPr>
        <w:t xml:space="preserve">网点，对我行所提供的产品与服务提出建议或投诉。我行将及时处理客户反映的相关建议及投诉。　　</w:t>
      </w:r>
    </w:p>
    <w:p w:rsidR="00E57D5A" w:rsidRDefault="00E57D5A" w:rsidP="00E57D5A">
      <w:pPr>
        <w:spacing w:line="276" w:lineRule="auto"/>
        <w:ind w:firstLineChars="150" w:firstLine="360"/>
        <w:rPr>
          <w:rFonts w:ascii="宋体" w:hAnsi="宋体"/>
          <w:sz w:val="24"/>
        </w:rPr>
      </w:pPr>
      <w:r>
        <w:rPr>
          <w:rFonts w:ascii="宋体" w:hAnsi="宋体" w:hint="eastAsia"/>
          <w:sz w:val="24"/>
        </w:rPr>
        <w:t xml:space="preserve">　　客户服务电话：95313</w:t>
      </w:r>
    </w:p>
    <w:p w:rsidR="00E57D5A" w:rsidRDefault="00E57D5A" w:rsidP="00E57D5A">
      <w:pPr>
        <w:spacing w:line="276" w:lineRule="auto"/>
        <w:ind w:firstLineChars="350" w:firstLine="840"/>
        <w:rPr>
          <w:rFonts w:ascii="宋体" w:hAnsi="宋体"/>
          <w:sz w:val="24"/>
        </w:rPr>
      </w:pPr>
      <w:r>
        <w:rPr>
          <w:rFonts w:ascii="宋体" w:hAnsi="宋体" w:hint="eastAsia"/>
          <w:sz w:val="24"/>
        </w:rPr>
        <w:t>网站：</w:t>
      </w:r>
      <w:hyperlink r:id="rId6" w:history="1">
        <w:r>
          <w:rPr>
            <w:rStyle w:val="a3"/>
          </w:rPr>
          <w:t>http://www.grcbank.com</w:t>
        </w:r>
      </w:hyperlink>
    </w:p>
    <w:p w:rsidR="00E57D5A" w:rsidRDefault="00E57D5A" w:rsidP="00E57D5A">
      <w:pPr>
        <w:spacing w:line="276" w:lineRule="auto"/>
        <w:ind w:firstLineChars="150" w:firstLine="360"/>
        <w:rPr>
          <w:rFonts w:ascii="宋体" w:hAnsi="宋体"/>
          <w:sz w:val="24"/>
        </w:rPr>
      </w:pPr>
      <w:r>
        <w:rPr>
          <w:rFonts w:ascii="宋体" w:hAnsi="宋体" w:hint="eastAsia"/>
          <w:sz w:val="24"/>
        </w:rPr>
        <w:t xml:space="preserve">　　邮寄地址：广州市天河区珠江新城华夏路1号信合大厦</w:t>
      </w:r>
    </w:p>
    <w:p w:rsidR="00E57D5A" w:rsidRDefault="00E57D5A" w:rsidP="00E57D5A">
      <w:pPr>
        <w:spacing w:line="276" w:lineRule="auto"/>
        <w:ind w:firstLineChars="150" w:firstLine="360"/>
        <w:rPr>
          <w:rFonts w:ascii="宋体" w:hAnsi="宋体"/>
          <w:sz w:val="24"/>
        </w:rPr>
      </w:pPr>
      <w:r>
        <w:rPr>
          <w:rFonts w:ascii="宋体" w:hAnsi="宋体" w:hint="eastAsia"/>
          <w:sz w:val="24"/>
        </w:rPr>
        <w:t xml:space="preserve">　　邮编：510623　</w:t>
      </w:r>
    </w:p>
    <w:p w:rsidR="00E57D5A" w:rsidRDefault="00E57D5A" w:rsidP="00E57D5A">
      <w:pPr>
        <w:spacing w:line="276" w:lineRule="auto"/>
        <w:ind w:firstLineChars="200" w:firstLine="480"/>
        <w:rPr>
          <w:rFonts w:ascii="宋体" w:hAnsi="宋体"/>
          <w:sz w:val="24"/>
        </w:rPr>
      </w:pPr>
      <w:r>
        <w:rPr>
          <w:rFonts w:ascii="宋体" w:hAnsi="宋体" w:hint="eastAsia"/>
          <w:sz w:val="24"/>
        </w:rPr>
        <w:t>客户在购买本理财产品前，应详细阅知《</w:t>
      </w:r>
      <w:r w:rsidR="00736BC2">
        <w:rPr>
          <w:rFonts w:ascii="宋体" w:hAnsi="宋体" w:hint="eastAsia"/>
          <w:sz w:val="24"/>
        </w:rPr>
        <w:t>理财</w:t>
      </w:r>
      <w:r>
        <w:rPr>
          <w:rFonts w:ascii="宋体" w:hAnsi="宋体" w:hint="eastAsia"/>
          <w:sz w:val="24"/>
        </w:rPr>
        <w:t>产品说明书》与《</w:t>
      </w:r>
      <w:r w:rsidR="00736BC2">
        <w:rPr>
          <w:rFonts w:ascii="宋体" w:hAnsi="宋体" w:hint="eastAsia"/>
          <w:sz w:val="24"/>
        </w:rPr>
        <w:t>理财产品</w:t>
      </w:r>
      <w:r>
        <w:rPr>
          <w:rFonts w:ascii="宋体" w:hAnsi="宋体" w:hint="eastAsia"/>
          <w:sz w:val="24"/>
        </w:rPr>
        <w:t>风险揭示书》等相关文件，明白该项投资的性质、所涉及的风险以及客户风险承受能力，并根据自身情况做出投资决策。广州农村商业银行承诺投资人利益优先，以恪守信用、勤勉尽责的态度为投资人提供服务。</w:t>
      </w:r>
    </w:p>
    <w:p w:rsidR="00E22F13" w:rsidRPr="00E57D5A" w:rsidRDefault="00E57D5A" w:rsidP="00E57D5A">
      <w:pPr>
        <w:spacing w:line="276" w:lineRule="auto"/>
        <w:ind w:firstLineChars="150" w:firstLine="360"/>
        <w:rPr>
          <w:rFonts w:ascii="宋体" w:hAnsi="宋体"/>
          <w:sz w:val="24"/>
        </w:rPr>
      </w:pPr>
      <w:r>
        <w:rPr>
          <w:rFonts w:ascii="宋体" w:hAnsi="宋体" w:hint="eastAsia"/>
          <w:sz w:val="24"/>
        </w:rPr>
        <w:t>涉及本理财产品的信息请以我行网站（</w:t>
      </w:r>
      <w:hyperlink r:id="rId7" w:history="1">
        <w:r>
          <w:rPr>
            <w:rStyle w:val="a3"/>
          </w:rPr>
          <w:t>http://www.grcbank.com</w:t>
        </w:r>
      </w:hyperlink>
      <w:r>
        <w:rPr>
          <w:rFonts w:ascii="宋体" w:hAnsi="宋体" w:hint="eastAsia"/>
          <w:sz w:val="24"/>
        </w:rPr>
        <w:t>）最新公告为准。</w:t>
      </w:r>
    </w:p>
    <w:sectPr w:rsidR="00E22F13" w:rsidRPr="00E57D5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7AC3" w:rsidRDefault="00667AC3" w:rsidP="00BD656F">
      <w:r>
        <w:separator/>
      </w:r>
    </w:p>
  </w:endnote>
  <w:endnote w:type="continuationSeparator" w:id="0">
    <w:p w:rsidR="00667AC3" w:rsidRDefault="00667AC3" w:rsidP="00BD65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MicrosoftYaHei">
    <w:altName w:val="Times New Roman"/>
    <w:panose1 w:val="00000000000000000000"/>
    <w:charset w:val="00"/>
    <w:family w:val="roman"/>
    <w:notTrueType/>
    <w:pitch w:val="default"/>
  </w:font>
  <w:font w:name="仿宋_GB2312">
    <w:panose1 w:val="02010609030101010101"/>
    <w:charset w:val="86"/>
    <w:family w:val="modern"/>
    <w:pitch w:val="fixed"/>
    <w:sig w:usb0="00000001" w:usb1="080E0000" w:usb2="00000010" w:usb3="00000000" w:csb0="00040000" w:csb1="00000000"/>
  </w:font>
  <w:font w:name="Segoe UI">
    <w:panose1 w:val="020B0502040204020203"/>
    <w:charset w:val="00"/>
    <w:family w:val="swiss"/>
    <w:pitch w:val="variable"/>
    <w:sig w:usb0="E4002EFF" w:usb1="C000E47F"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7AC3" w:rsidRDefault="00667AC3" w:rsidP="00BD656F">
      <w:r>
        <w:separator/>
      </w:r>
    </w:p>
  </w:footnote>
  <w:footnote w:type="continuationSeparator" w:id="0">
    <w:p w:rsidR="00667AC3" w:rsidRDefault="00667AC3" w:rsidP="00BD656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8"/>
  <w:bordersDoNotSurroundHeader/>
  <w:bordersDoNotSurroundFooter/>
  <w:activeWritingStyle w:appName="MSWord" w:lang="en-US" w:vendorID="64" w:dllVersion="131078" w:nlCheck="1" w:checkStyle="0"/>
  <w:activeWritingStyle w:appName="MSWord" w:lang="zh-CN" w:vendorID="64" w:dllVersion="131077" w:nlCheck="1" w:checkStyle="1"/>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372E"/>
    <w:rsid w:val="000C1B75"/>
    <w:rsid w:val="00133BC2"/>
    <w:rsid w:val="002F3696"/>
    <w:rsid w:val="0044278E"/>
    <w:rsid w:val="00667AC3"/>
    <w:rsid w:val="006F45F3"/>
    <w:rsid w:val="00704DB8"/>
    <w:rsid w:val="00707922"/>
    <w:rsid w:val="00736BC2"/>
    <w:rsid w:val="00815F23"/>
    <w:rsid w:val="008E76DC"/>
    <w:rsid w:val="009A372E"/>
    <w:rsid w:val="009E2BC7"/>
    <w:rsid w:val="00A51EA3"/>
    <w:rsid w:val="00BD656F"/>
    <w:rsid w:val="00D62F31"/>
    <w:rsid w:val="00DB361E"/>
    <w:rsid w:val="00E22F13"/>
    <w:rsid w:val="00E57D5A"/>
    <w:rsid w:val="00F93ADF"/>
    <w:rsid w:val="00FE2E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01345E"/>
  <w15:chartTrackingRefBased/>
  <w15:docId w15:val="{91CFC9B8-3216-4945-B74E-671568AB52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7D5A"/>
    <w:pPr>
      <w:widowControl w:val="0"/>
      <w:ind w:firstLine="641"/>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E57D5A"/>
    <w:rPr>
      <w:color w:val="0000FF"/>
      <w:u w:val="single"/>
    </w:rPr>
  </w:style>
  <w:style w:type="paragraph" w:customStyle="1" w:styleId="a4">
    <w:name w:val="内容"/>
    <w:basedOn w:val="a"/>
    <w:autoRedefine/>
    <w:rsid w:val="00E57D5A"/>
    <w:pPr>
      <w:tabs>
        <w:tab w:val="left" w:pos="1455"/>
      </w:tabs>
      <w:ind w:firstLine="0"/>
      <w:jc w:val="both"/>
    </w:pPr>
    <w:rPr>
      <w:rFonts w:ascii="黑体" w:eastAsia="黑体" w:hAnsi="黑体"/>
      <w:bCs/>
      <w:color w:val="000000"/>
      <w:szCs w:val="21"/>
    </w:rPr>
  </w:style>
  <w:style w:type="character" w:customStyle="1" w:styleId="fontstyle01">
    <w:name w:val="fontstyle01"/>
    <w:basedOn w:val="a0"/>
    <w:rsid w:val="00E57D5A"/>
    <w:rPr>
      <w:rFonts w:ascii="MicrosoftYaHei" w:hAnsi="MicrosoftYaHei" w:hint="default"/>
      <w:b w:val="0"/>
      <w:bCs w:val="0"/>
      <w:i w:val="0"/>
      <w:iCs w:val="0"/>
      <w:color w:val="000000"/>
      <w:sz w:val="24"/>
      <w:szCs w:val="24"/>
    </w:rPr>
  </w:style>
  <w:style w:type="paragraph" w:styleId="a5">
    <w:name w:val="header"/>
    <w:basedOn w:val="a"/>
    <w:link w:val="a6"/>
    <w:uiPriority w:val="99"/>
    <w:unhideWhenUsed/>
    <w:rsid w:val="00BD656F"/>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BD656F"/>
    <w:rPr>
      <w:rFonts w:ascii="Calibri" w:eastAsia="宋体" w:hAnsi="Calibri" w:cs="Times New Roman"/>
      <w:sz w:val="18"/>
      <w:szCs w:val="18"/>
    </w:rPr>
  </w:style>
  <w:style w:type="paragraph" w:styleId="a7">
    <w:name w:val="footer"/>
    <w:basedOn w:val="a"/>
    <w:link w:val="a8"/>
    <w:uiPriority w:val="99"/>
    <w:unhideWhenUsed/>
    <w:rsid w:val="00BD656F"/>
    <w:pPr>
      <w:tabs>
        <w:tab w:val="center" w:pos="4153"/>
        <w:tab w:val="right" w:pos="8306"/>
      </w:tabs>
      <w:snapToGrid w:val="0"/>
    </w:pPr>
    <w:rPr>
      <w:sz w:val="18"/>
      <w:szCs w:val="18"/>
    </w:rPr>
  </w:style>
  <w:style w:type="character" w:customStyle="1" w:styleId="a8">
    <w:name w:val="页脚 字符"/>
    <w:basedOn w:val="a0"/>
    <w:link w:val="a7"/>
    <w:uiPriority w:val="99"/>
    <w:rsid w:val="00BD656F"/>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5477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grcbank.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grcbank.co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81</TotalTime>
  <Pages>4</Pages>
  <Words>554</Words>
  <Characters>3159</Characters>
  <Application>Microsoft Office Word</Application>
  <DocSecurity>0</DocSecurity>
  <Lines>26</Lines>
  <Paragraphs>7</Paragraphs>
  <ScaleCrop>false</ScaleCrop>
  <Company/>
  <LinksUpToDate>false</LinksUpToDate>
  <CharactersWithSpaces>3706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14</cp:revision>
  <dcterms:created xsi:type="dcterms:W3CDTF">2024-12-25T02:02:00Z</dcterms:created>
  <dcterms:modified xsi:type="dcterms:W3CDTF">2025-03-24T03:18:00Z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929433503</vt:i4>
  </property>
</Properties>
</file>