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B558E" w14:textId="1CF072DA" w:rsidR="00CB2F6B" w:rsidRPr="00A861AC" w:rsidRDefault="00CB2F6B" w:rsidP="00CB2F6B">
      <w:pPr>
        <w:ind w:firstLine="0"/>
        <w:rPr>
          <w:rFonts w:ascii="宋体" w:hAnsi="宋体"/>
          <w:b/>
          <w:sz w:val="30"/>
          <w:szCs w:val="30"/>
        </w:rPr>
      </w:pPr>
      <w:r w:rsidRPr="00A861AC">
        <w:rPr>
          <w:rFonts w:ascii="宋体" w:hAnsi="宋体" w:hint="eastAsia"/>
          <w:b/>
          <w:sz w:val="30"/>
          <w:szCs w:val="30"/>
        </w:rPr>
        <w:t>监管登记编码：</w:t>
      </w:r>
      <w:r w:rsidR="00A10CB1" w:rsidRPr="00A10CB1">
        <w:rPr>
          <w:rFonts w:ascii="宋体" w:hAnsi="宋体"/>
          <w:b/>
          <w:sz w:val="30"/>
          <w:szCs w:val="30"/>
        </w:rPr>
        <w:t>C1131221000484</w:t>
      </w:r>
    </w:p>
    <w:p w14:paraId="558E11DC" w14:textId="77777777" w:rsidR="004A6979" w:rsidRPr="00A861AC" w:rsidRDefault="004A6979" w:rsidP="004A6979">
      <w:pPr>
        <w:jc w:val="center"/>
        <w:rPr>
          <w:rFonts w:ascii="宋体" w:hAnsi="宋体"/>
          <w:b/>
          <w:sz w:val="30"/>
          <w:szCs w:val="30"/>
        </w:rPr>
      </w:pPr>
    </w:p>
    <w:p w14:paraId="465006A1" w14:textId="77777777" w:rsidR="00650FF7" w:rsidRPr="00A861AC" w:rsidRDefault="00650FF7" w:rsidP="004A6979">
      <w:pPr>
        <w:jc w:val="center"/>
        <w:rPr>
          <w:rFonts w:ascii="宋体" w:hAnsi="宋体"/>
          <w:b/>
          <w:sz w:val="30"/>
          <w:szCs w:val="30"/>
        </w:rPr>
      </w:pPr>
    </w:p>
    <w:p w14:paraId="071B22F0" w14:textId="77777777" w:rsidR="004243C1" w:rsidRPr="00A861AC" w:rsidRDefault="004243C1" w:rsidP="004A6979">
      <w:pPr>
        <w:jc w:val="center"/>
        <w:rPr>
          <w:rFonts w:ascii="宋体" w:hAnsi="宋体"/>
          <w:b/>
          <w:sz w:val="30"/>
          <w:szCs w:val="30"/>
        </w:rPr>
      </w:pPr>
    </w:p>
    <w:p w14:paraId="3717F980" w14:textId="77777777" w:rsidR="004A6979" w:rsidRPr="00A861AC" w:rsidRDefault="004A6979" w:rsidP="004A6979">
      <w:pPr>
        <w:jc w:val="center"/>
        <w:rPr>
          <w:rFonts w:ascii="宋体" w:hAnsi="宋体"/>
          <w:b/>
          <w:sz w:val="72"/>
          <w:szCs w:val="72"/>
        </w:rPr>
      </w:pPr>
      <w:r w:rsidRPr="00A861AC">
        <w:rPr>
          <w:rFonts w:ascii="宋体" w:hAnsi="宋体" w:hint="eastAsia"/>
          <w:b/>
          <w:sz w:val="72"/>
          <w:szCs w:val="72"/>
        </w:rPr>
        <w:t>广州农商银行</w:t>
      </w:r>
    </w:p>
    <w:p w14:paraId="2DCB72B3" w14:textId="77777777" w:rsidR="004A6979" w:rsidRPr="00A861AC" w:rsidRDefault="004A6979" w:rsidP="004A6979">
      <w:pPr>
        <w:jc w:val="center"/>
        <w:rPr>
          <w:rFonts w:ascii="宋体" w:hAnsi="宋体"/>
          <w:b/>
          <w:sz w:val="30"/>
          <w:szCs w:val="30"/>
        </w:rPr>
      </w:pPr>
    </w:p>
    <w:p w14:paraId="70FC16A4" w14:textId="77777777" w:rsidR="004A6979" w:rsidRPr="00A861AC" w:rsidRDefault="004A6979" w:rsidP="004A6979">
      <w:pPr>
        <w:jc w:val="center"/>
        <w:rPr>
          <w:rFonts w:ascii="宋体" w:hAnsi="宋体"/>
          <w:b/>
          <w:sz w:val="30"/>
          <w:szCs w:val="30"/>
        </w:rPr>
      </w:pPr>
    </w:p>
    <w:p w14:paraId="2D3BFAE2" w14:textId="77777777" w:rsidR="00B52465" w:rsidRPr="0064093E" w:rsidRDefault="00B52465" w:rsidP="00B52465">
      <w:pPr>
        <w:jc w:val="center"/>
        <w:rPr>
          <w:b/>
          <w:sz w:val="44"/>
          <w:szCs w:val="44"/>
        </w:rPr>
      </w:pPr>
      <w:r w:rsidRPr="0064093E">
        <w:rPr>
          <w:rFonts w:hint="eastAsia"/>
          <w:b/>
          <w:sz w:val="44"/>
          <w:szCs w:val="44"/>
        </w:rPr>
        <w:t>“金米同盈</w:t>
      </w:r>
      <w:r w:rsidRPr="0064093E">
        <w:rPr>
          <w:rFonts w:hint="eastAsia"/>
          <w:b/>
          <w:sz w:val="44"/>
          <w:szCs w:val="44"/>
        </w:rPr>
        <w:t>3</w:t>
      </w:r>
      <w:r w:rsidRPr="0064093E">
        <w:rPr>
          <w:rFonts w:hint="eastAsia"/>
          <w:b/>
          <w:sz w:val="44"/>
          <w:szCs w:val="44"/>
        </w:rPr>
        <w:t>个月定开第</w:t>
      </w:r>
      <w:r w:rsidRPr="0064093E">
        <w:rPr>
          <w:rFonts w:hint="eastAsia"/>
          <w:b/>
          <w:sz w:val="44"/>
          <w:szCs w:val="44"/>
        </w:rPr>
        <w:t>1</w:t>
      </w:r>
      <w:r w:rsidRPr="0064093E">
        <w:rPr>
          <w:rFonts w:hint="eastAsia"/>
          <w:b/>
          <w:sz w:val="44"/>
          <w:szCs w:val="44"/>
        </w:rPr>
        <w:t>期（自动赎回）”净值型人民币理财产品</w:t>
      </w:r>
    </w:p>
    <w:p w14:paraId="71147ED9" w14:textId="77777777" w:rsidR="00B52465" w:rsidRPr="0064093E" w:rsidRDefault="00B52465" w:rsidP="00B52465">
      <w:pPr>
        <w:jc w:val="center"/>
        <w:rPr>
          <w:b/>
          <w:sz w:val="44"/>
          <w:szCs w:val="44"/>
        </w:rPr>
      </w:pPr>
      <w:r w:rsidRPr="0064093E">
        <w:rPr>
          <w:rFonts w:hint="eastAsia"/>
          <w:b/>
          <w:sz w:val="44"/>
          <w:szCs w:val="44"/>
        </w:rPr>
        <w:t>产品说明书</w:t>
      </w:r>
    </w:p>
    <w:p w14:paraId="340F0D33" w14:textId="77777777" w:rsidR="004A6979" w:rsidRPr="00A861AC" w:rsidRDefault="004A6979" w:rsidP="004A6979">
      <w:pPr>
        <w:jc w:val="center"/>
        <w:rPr>
          <w:rFonts w:ascii="宋体" w:hAnsi="宋体"/>
          <w:b/>
          <w:sz w:val="44"/>
          <w:szCs w:val="44"/>
        </w:rPr>
      </w:pPr>
    </w:p>
    <w:p w14:paraId="407A2FB9" w14:textId="77777777" w:rsidR="004A6979" w:rsidRPr="00A861AC" w:rsidRDefault="00650FF7" w:rsidP="00650FF7">
      <w:pPr>
        <w:jc w:val="center"/>
        <w:rPr>
          <w:rFonts w:ascii="宋体" w:hAnsi="宋体"/>
          <w:b/>
          <w:sz w:val="36"/>
          <w:szCs w:val="36"/>
        </w:rPr>
      </w:pPr>
      <w:r w:rsidRPr="00A861AC">
        <w:rPr>
          <w:rFonts w:ascii="宋体" w:hAnsi="宋体" w:hint="eastAsia"/>
          <w:b/>
          <w:sz w:val="36"/>
          <w:szCs w:val="36"/>
        </w:rPr>
        <w:t>固定收益类</w:t>
      </w:r>
    </w:p>
    <w:p w14:paraId="2A85B003" w14:textId="77777777" w:rsidR="004A6979" w:rsidRPr="00A861AC" w:rsidRDefault="004A6979" w:rsidP="004A6979">
      <w:pPr>
        <w:jc w:val="center"/>
        <w:rPr>
          <w:rFonts w:ascii="宋体" w:hAnsi="宋体"/>
          <w:b/>
          <w:sz w:val="44"/>
          <w:szCs w:val="44"/>
        </w:rPr>
      </w:pPr>
    </w:p>
    <w:p w14:paraId="65BE3AD4" w14:textId="77777777" w:rsidR="004A6979" w:rsidRPr="00A861AC" w:rsidRDefault="004A6979" w:rsidP="004A6979">
      <w:pPr>
        <w:jc w:val="center"/>
        <w:rPr>
          <w:rFonts w:ascii="宋体" w:hAnsi="宋体"/>
          <w:b/>
          <w:sz w:val="44"/>
          <w:szCs w:val="44"/>
        </w:rPr>
      </w:pPr>
    </w:p>
    <w:p w14:paraId="4DE3CBC1" w14:textId="77777777" w:rsidR="004A6979" w:rsidRPr="00A861AC" w:rsidRDefault="004A6979" w:rsidP="004A6979">
      <w:pPr>
        <w:jc w:val="center"/>
        <w:rPr>
          <w:rFonts w:ascii="宋体" w:hAnsi="宋体"/>
          <w:b/>
          <w:sz w:val="44"/>
          <w:szCs w:val="44"/>
        </w:rPr>
      </w:pPr>
    </w:p>
    <w:p w14:paraId="370C84CE" w14:textId="77777777" w:rsidR="002A662B" w:rsidRPr="00A861AC" w:rsidRDefault="002A662B" w:rsidP="004A6979">
      <w:pPr>
        <w:jc w:val="center"/>
        <w:rPr>
          <w:rFonts w:ascii="宋体" w:hAnsi="宋体"/>
          <w:b/>
          <w:sz w:val="44"/>
          <w:szCs w:val="44"/>
        </w:rPr>
      </w:pPr>
    </w:p>
    <w:p w14:paraId="2FCDD409" w14:textId="77777777" w:rsidR="004A6979" w:rsidRPr="00A861AC" w:rsidRDefault="004A6979" w:rsidP="004A6979">
      <w:pPr>
        <w:jc w:val="center"/>
        <w:rPr>
          <w:rFonts w:ascii="宋体" w:hAnsi="宋体"/>
          <w:b/>
          <w:sz w:val="44"/>
          <w:szCs w:val="44"/>
        </w:rPr>
      </w:pPr>
    </w:p>
    <w:p w14:paraId="064C370A" w14:textId="54D5F948" w:rsidR="004A6979" w:rsidRPr="00A861AC" w:rsidRDefault="00C073A8" w:rsidP="004A6979">
      <w:pPr>
        <w:jc w:val="center"/>
        <w:rPr>
          <w:rFonts w:ascii="宋体" w:hAnsi="宋体"/>
          <w:b/>
          <w:sz w:val="44"/>
          <w:szCs w:val="44"/>
        </w:rPr>
      </w:pPr>
      <w:r w:rsidRPr="00A861AC">
        <w:rPr>
          <w:rFonts w:ascii="宋体" w:hAnsi="宋体"/>
          <w:b/>
          <w:sz w:val="44"/>
          <w:szCs w:val="44"/>
        </w:rPr>
        <w:t>20</w:t>
      </w:r>
      <w:r w:rsidR="00636456" w:rsidRPr="00A861AC">
        <w:rPr>
          <w:rFonts w:ascii="宋体" w:hAnsi="宋体"/>
          <w:b/>
          <w:sz w:val="44"/>
          <w:szCs w:val="44"/>
        </w:rPr>
        <w:t>2</w:t>
      </w:r>
      <w:r w:rsidR="003A0159" w:rsidRPr="00A861AC">
        <w:rPr>
          <w:rFonts w:ascii="宋体" w:hAnsi="宋体"/>
          <w:b/>
          <w:sz w:val="44"/>
          <w:szCs w:val="44"/>
        </w:rPr>
        <w:t>5</w:t>
      </w:r>
      <w:r w:rsidR="004A6979" w:rsidRPr="00A861AC">
        <w:rPr>
          <w:rFonts w:ascii="宋体" w:hAnsi="宋体" w:hint="eastAsia"/>
          <w:b/>
          <w:sz w:val="44"/>
          <w:szCs w:val="44"/>
        </w:rPr>
        <w:t>年</w:t>
      </w:r>
    </w:p>
    <w:p w14:paraId="34E81EF9" w14:textId="77777777" w:rsidR="004A6979" w:rsidRPr="00A861AC" w:rsidRDefault="004A6979" w:rsidP="004A3D40">
      <w:pPr>
        <w:ind w:firstLine="643"/>
        <w:jc w:val="center"/>
        <w:rPr>
          <w:rFonts w:ascii="宋体" w:hAnsi="宋体"/>
          <w:szCs w:val="21"/>
        </w:rPr>
      </w:pPr>
    </w:p>
    <w:p w14:paraId="47F913F8" w14:textId="26E6066F" w:rsidR="00650FF7" w:rsidRDefault="00650FF7" w:rsidP="004A3D40">
      <w:pPr>
        <w:ind w:firstLine="643"/>
        <w:jc w:val="center"/>
        <w:rPr>
          <w:rFonts w:ascii="宋体" w:hAnsi="宋体"/>
          <w:szCs w:val="21"/>
        </w:rPr>
      </w:pPr>
    </w:p>
    <w:p w14:paraId="6191A42B" w14:textId="4A5625C4" w:rsidR="004B30AA" w:rsidRDefault="004B30AA" w:rsidP="004A3D40">
      <w:pPr>
        <w:ind w:firstLine="643"/>
        <w:jc w:val="center"/>
        <w:rPr>
          <w:rFonts w:ascii="宋体" w:hAnsi="宋体"/>
          <w:szCs w:val="21"/>
        </w:rPr>
      </w:pPr>
    </w:p>
    <w:p w14:paraId="65F3AB04" w14:textId="2187C447" w:rsidR="004B30AA" w:rsidRDefault="004B30AA" w:rsidP="004A3D40">
      <w:pPr>
        <w:ind w:firstLine="643"/>
        <w:jc w:val="center"/>
        <w:rPr>
          <w:rFonts w:ascii="宋体" w:hAnsi="宋体"/>
          <w:szCs w:val="21"/>
        </w:rPr>
      </w:pPr>
    </w:p>
    <w:p w14:paraId="7081AF28" w14:textId="4207B995" w:rsidR="004B30AA" w:rsidRDefault="004B30AA" w:rsidP="004A3D40">
      <w:pPr>
        <w:ind w:firstLine="643"/>
        <w:jc w:val="center"/>
        <w:rPr>
          <w:rFonts w:ascii="宋体" w:hAnsi="宋体"/>
          <w:szCs w:val="21"/>
        </w:rPr>
      </w:pPr>
    </w:p>
    <w:p w14:paraId="3D677327" w14:textId="77777777" w:rsidR="004B30AA" w:rsidRPr="004B30AA" w:rsidRDefault="004B30AA" w:rsidP="004A3D40">
      <w:pPr>
        <w:ind w:firstLine="643"/>
        <w:jc w:val="center"/>
        <w:rPr>
          <w:rFonts w:ascii="宋体" w:hAnsi="宋体"/>
          <w:szCs w:val="21"/>
        </w:rPr>
      </w:pPr>
    </w:p>
    <w:p w14:paraId="397FDEF2" w14:textId="77777777" w:rsidR="00650FF7" w:rsidRPr="00A861AC" w:rsidRDefault="00650FF7" w:rsidP="004A3D40">
      <w:pPr>
        <w:ind w:firstLine="643"/>
        <w:jc w:val="center"/>
        <w:rPr>
          <w:rFonts w:ascii="宋体" w:hAnsi="宋体"/>
          <w:szCs w:val="21"/>
        </w:rPr>
      </w:pPr>
    </w:p>
    <w:p w14:paraId="6E898702" w14:textId="42137CFC"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lastRenderedPageBreak/>
        <w:t>广州农商银行“金米同盈</w:t>
      </w:r>
      <w:r w:rsidRPr="00156B89">
        <w:rPr>
          <w:rFonts w:ascii="宋体" w:hAnsi="宋体"/>
          <w:b/>
          <w:sz w:val="24"/>
          <w:szCs w:val="24"/>
        </w:rPr>
        <w:t>3个月定开</w:t>
      </w:r>
      <w:r w:rsidR="007801A1" w:rsidRPr="00156B89">
        <w:rPr>
          <w:rFonts w:ascii="宋体" w:hAnsi="宋体"/>
          <w:b/>
          <w:sz w:val="24"/>
          <w:szCs w:val="24"/>
        </w:rPr>
        <w:t>第</w:t>
      </w:r>
      <w:r w:rsidR="007801A1">
        <w:rPr>
          <w:rFonts w:ascii="宋体" w:hAnsi="宋体"/>
          <w:b/>
          <w:sz w:val="24"/>
          <w:szCs w:val="24"/>
        </w:rPr>
        <w:t>1</w:t>
      </w:r>
      <w:r w:rsidRPr="00156B89">
        <w:rPr>
          <w:rFonts w:ascii="宋体" w:hAnsi="宋体"/>
          <w:b/>
          <w:sz w:val="24"/>
          <w:szCs w:val="24"/>
        </w:rPr>
        <w:t>期（自动赎回）”净值型人民币理财</w:t>
      </w:r>
    </w:p>
    <w:p w14:paraId="2D0D3B15" w14:textId="77777777" w:rsidR="00083664" w:rsidRPr="00156B89" w:rsidRDefault="00083664" w:rsidP="00083664">
      <w:pPr>
        <w:spacing w:line="360" w:lineRule="auto"/>
        <w:ind w:firstLine="0"/>
        <w:jc w:val="center"/>
        <w:rPr>
          <w:rFonts w:ascii="宋体" w:hAnsi="宋体"/>
          <w:b/>
          <w:sz w:val="24"/>
          <w:szCs w:val="24"/>
        </w:rPr>
      </w:pPr>
      <w:r w:rsidRPr="00156B89">
        <w:rPr>
          <w:rFonts w:ascii="宋体" w:hAnsi="宋体" w:hint="eastAsia"/>
          <w:b/>
          <w:sz w:val="24"/>
          <w:szCs w:val="24"/>
        </w:rPr>
        <w:t>产品说明书</w:t>
      </w:r>
    </w:p>
    <w:p w14:paraId="6FA06912" w14:textId="77777777" w:rsidR="00083664" w:rsidRPr="00156B89" w:rsidRDefault="00083664" w:rsidP="00083664">
      <w:pPr>
        <w:ind w:firstLine="0"/>
        <w:textAlignment w:val="bottom"/>
        <w:rPr>
          <w:rFonts w:ascii="宋体" w:hAnsi="宋体"/>
          <w:b/>
          <w:sz w:val="24"/>
          <w:szCs w:val="24"/>
        </w:rPr>
      </w:pPr>
      <w:r w:rsidRPr="00156B89">
        <w:rPr>
          <w:rFonts w:ascii="宋体" w:hAnsi="宋体" w:hint="eastAsia"/>
          <w:b/>
          <w:sz w:val="24"/>
          <w:szCs w:val="24"/>
        </w:rPr>
        <w:t>重要须知：</w:t>
      </w:r>
    </w:p>
    <w:p w14:paraId="77EBCC93" w14:textId="71AF02C1"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·本说明书为</w:t>
      </w:r>
      <w:r w:rsidR="003B48AF" w:rsidRPr="00156B89">
        <w:rPr>
          <w:rFonts w:ascii="宋体" w:hAnsi="宋体" w:hint="eastAsia"/>
          <w:sz w:val="24"/>
          <w:szCs w:val="24"/>
        </w:rPr>
        <w:t>广州农商银行股份有限公司理财业务的销售文件</w:t>
      </w:r>
      <w:r w:rsidRPr="00156B89">
        <w:rPr>
          <w:rFonts w:ascii="宋体" w:hAnsi="宋体" w:hint="eastAsia"/>
          <w:sz w:val="24"/>
          <w:szCs w:val="24"/>
        </w:rPr>
        <w:t>不可分割之组成部分。</w:t>
      </w:r>
    </w:p>
    <w:p w14:paraId="2C14191E"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·本产品管理人为广州农村商业银行股份有限公司，以下简称为广州农村商业银行。公司网址为：</w:t>
      </w:r>
      <w:r w:rsidRPr="00156B89">
        <w:rPr>
          <w:rFonts w:ascii="宋体" w:hAnsi="宋体"/>
          <w:sz w:val="24"/>
          <w:szCs w:val="24"/>
        </w:rPr>
        <w:t>http://www.grcbank.com</w:t>
      </w:r>
    </w:p>
    <w:p w14:paraId="1A14552A"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应根据自身判断审慎做出投资决定，不受任何诱导、误导。在购买本理财产品前，投资者应确保自己完全明白该项投资的性质、投资所涉及的风险以及投资者的风险承受能力，并根据自身情况做出投资决策。</w:t>
      </w:r>
    </w:p>
    <w:p w14:paraId="1913E7C1"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·投资者承诺其投资理财产品所使用的资金来源合法合</w:t>
      </w:r>
      <w:proofErr w:type="gramStart"/>
      <w:r w:rsidRPr="00156B89">
        <w:rPr>
          <w:rFonts w:ascii="宋体" w:hAnsi="宋体" w:hint="eastAsia"/>
          <w:sz w:val="24"/>
          <w:szCs w:val="24"/>
        </w:rPr>
        <w:t>规</w:t>
      </w:r>
      <w:proofErr w:type="gramEnd"/>
      <w:r w:rsidRPr="00156B89">
        <w:rPr>
          <w:rFonts w:ascii="宋体" w:hAnsi="宋体" w:hint="eastAsia"/>
          <w:sz w:val="24"/>
          <w:szCs w:val="24"/>
        </w:rPr>
        <w:t>，并且其系为合法目的投资本理财产品，不存在洗钱、</w:t>
      </w:r>
      <w:proofErr w:type="gramStart"/>
      <w:r w:rsidRPr="00156B89">
        <w:rPr>
          <w:rFonts w:ascii="宋体" w:hAnsi="宋体" w:hint="eastAsia"/>
          <w:sz w:val="24"/>
          <w:szCs w:val="24"/>
        </w:rPr>
        <w:t>代持等</w:t>
      </w:r>
      <w:proofErr w:type="gramEnd"/>
      <w:r w:rsidRPr="00156B89">
        <w:rPr>
          <w:rFonts w:ascii="宋体" w:hAnsi="宋体" w:hint="eastAsia"/>
          <w:sz w:val="24"/>
          <w:szCs w:val="24"/>
        </w:rPr>
        <w:t>违法犯罪目的。如发生异常情况，投资者将配合广州农村商业银行开展客户身份识别及尽职调查等反洗钱活动，及时、真实、完整提供身份信息及资金来源等信息。</w:t>
      </w:r>
    </w:p>
    <w:p w14:paraId="2BAE9322"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w:t>
      </w:r>
      <w:r w:rsidRPr="00156B89">
        <w:rPr>
          <w:rFonts w:ascii="宋体" w:hAnsi="宋体" w:hint="eastAsia"/>
          <w:b/>
          <w:sz w:val="24"/>
          <w:szCs w:val="24"/>
        </w:rPr>
        <w:t>根据本产品在理财登记系统取得的产品登记编码，投资者可在“中国理财网（</w:t>
      </w:r>
      <w:r w:rsidRPr="00156B89">
        <w:rPr>
          <w:rFonts w:ascii="宋体" w:hAnsi="宋体"/>
          <w:b/>
          <w:sz w:val="24"/>
          <w:szCs w:val="24"/>
        </w:rPr>
        <w:t>www.chinawealth.com.cn）”上查询产品信息。</w:t>
      </w:r>
    </w:p>
    <w:p w14:paraId="634F45C8"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·本理财产品为开放式净值型理财产品，</w:t>
      </w:r>
      <w:r w:rsidRPr="00156B89">
        <w:rPr>
          <w:rFonts w:ascii="宋体" w:hAnsi="宋体" w:hint="eastAsia"/>
          <w:b/>
          <w:sz w:val="24"/>
          <w:szCs w:val="24"/>
        </w:rPr>
        <w:t>本理财产品业绩比较基准和测算收益或类似表述均属不具有法律约束力的用语，业绩基准仅作为计算浮动管理费的依据，与普通期次产品的预期收益率含义不同，不代表投资者可能获得的实际收益，亦不构成广州农村商业银行对本理财产品的任何收益承诺</w:t>
      </w:r>
      <w:r w:rsidRPr="00156B89">
        <w:rPr>
          <w:rFonts w:ascii="宋体" w:hAnsi="宋体" w:hint="eastAsia"/>
          <w:sz w:val="24"/>
          <w:szCs w:val="24"/>
        </w:rPr>
        <w:t>。</w:t>
      </w:r>
    </w:p>
    <w:p w14:paraId="7334FFF7" w14:textId="77777777"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·本系列理财产品过往业绩不代表其未来表现，不构成新发理财产品业绩表现的保证。</w:t>
      </w:r>
    </w:p>
    <w:p w14:paraId="534C9FAA" w14:textId="6209A89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·本理财产品适合</w:t>
      </w:r>
      <w:r w:rsidRPr="00156B89">
        <w:rPr>
          <w:rFonts w:ascii="宋体" w:hAnsi="宋体" w:hint="eastAsia"/>
          <w:b/>
          <w:sz w:val="24"/>
          <w:szCs w:val="24"/>
        </w:rPr>
        <w:t>稳健型</w:t>
      </w:r>
      <w:r w:rsidRPr="00156B89">
        <w:rPr>
          <w:rFonts w:ascii="宋体" w:hAnsi="宋体" w:hint="eastAsia"/>
          <w:sz w:val="24"/>
          <w:szCs w:val="24"/>
        </w:rPr>
        <w:t>及以上的个人</w:t>
      </w:r>
      <w:r w:rsidRPr="00156B89">
        <w:rPr>
          <w:rFonts w:ascii="宋体" w:hAnsi="宋体"/>
          <w:sz w:val="24"/>
          <w:szCs w:val="24"/>
        </w:rPr>
        <w:t>/</w:t>
      </w:r>
      <w:r w:rsidR="008463A6" w:rsidRPr="00156B89">
        <w:rPr>
          <w:rFonts w:ascii="宋体" w:hAnsi="宋体" w:hint="eastAsia"/>
          <w:sz w:val="24"/>
          <w:szCs w:val="24"/>
        </w:rPr>
        <w:t>机构</w:t>
      </w:r>
      <w:r w:rsidRPr="00156B89">
        <w:rPr>
          <w:rFonts w:ascii="宋体" w:hAnsi="宋体" w:hint="eastAsia"/>
          <w:sz w:val="24"/>
          <w:szCs w:val="24"/>
        </w:rPr>
        <w:t>投资者，请投资者仔细阅读本产品说明书，</w:t>
      </w:r>
      <w:r w:rsidR="00607109" w:rsidRPr="00156B89">
        <w:rPr>
          <w:rFonts w:ascii="宋体" w:hAnsi="宋体" w:hint="eastAsia"/>
          <w:sz w:val="24"/>
          <w:szCs w:val="24"/>
        </w:rPr>
        <w:t>以及销售文件中的风险揭示书</w:t>
      </w:r>
      <w:r w:rsidRPr="00156B89">
        <w:rPr>
          <w:rFonts w:ascii="宋体" w:hAnsi="宋体" w:hint="eastAsia"/>
          <w:sz w:val="24"/>
          <w:szCs w:val="24"/>
        </w:rPr>
        <w:t>，并充分理解本理财产品可能存在的相关风险。</w:t>
      </w:r>
    </w:p>
    <w:p w14:paraId="58C0C633" w14:textId="6E5B8740" w:rsidR="00083664" w:rsidRPr="00156B89" w:rsidRDefault="00083664" w:rsidP="00083664">
      <w:pPr>
        <w:ind w:firstLine="480"/>
        <w:textAlignment w:val="bottom"/>
        <w:rPr>
          <w:rFonts w:ascii="宋体" w:hAnsi="宋体"/>
          <w:sz w:val="24"/>
          <w:szCs w:val="24"/>
        </w:rPr>
      </w:pPr>
      <w:r w:rsidRPr="00156B89">
        <w:rPr>
          <w:rFonts w:ascii="宋体" w:hAnsi="宋体" w:hint="eastAsia"/>
          <w:sz w:val="24"/>
          <w:szCs w:val="24"/>
        </w:rPr>
        <w:t>·投资者若对本说明书的内容有任何疑问，请咨询广州农村商业银行或代销银行网点工作人员；如对该产品和服务有任何意见、建议和投诉，可通过广州农村商业银行或代销银行网点工作人员、</w:t>
      </w:r>
      <w:r w:rsidRPr="00156B89">
        <w:rPr>
          <w:rFonts w:ascii="宋体" w:hAnsi="宋体"/>
          <w:sz w:val="24"/>
          <w:szCs w:val="24"/>
        </w:rPr>
        <w:t>95313客户服务电话进行反映，我们将按相关流程予以受理。</w:t>
      </w:r>
    </w:p>
    <w:p w14:paraId="32D98843"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367E90F"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6447407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AB9272C"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2FD3E1C7" w14:textId="77777777" w:rsidR="00083664" w:rsidRPr="00A861AC"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7EDC93F0" w14:textId="411DF582" w:rsidR="00083664" w:rsidRDefault="00083664" w:rsidP="00243083">
      <w:pPr>
        <w:autoSpaceDE w:val="0"/>
        <w:autoSpaceDN w:val="0"/>
        <w:spacing w:beforeLines="30" w:before="93" w:line="360" w:lineRule="auto"/>
        <w:ind w:firstLineChars="196" w:firstLine="472"/>
        <w:textAlignment w:val="center"/>
        <w:rPr>
          <w:rFonts w:ascii="宋体" w:hAnsi="宋体"/>
          <w:b/>
          <w:sz w:val="24"/>
          <w:szCs w:val="24"/>
        </w:rPr>
      </w:pPr>
    </w:p>
    <w:p w14:paraId="3560474E" w14:textId="5ED2F867" w:rsidR="004B30AA" w:rsidRDefault="004B30AA" w:rsidP="00243083">
      <w:pPr>
        <w:autoSpaceDE w:val="0"/>
        <w:autoSpaceDN w:val="0"/>
        <w:spacing w:beforeLines="30" w:before="93" w:line="360" w:lineRule="auto"/>
        <w:ind w:firstLineChars="196" w:firstLine="472"/>
        <w:textAlignment w:val="center"/>
        <w:rPr>
          <w:rFonts w:ascii="宋体" w:hAnsi="宋体"/>
          <w:b/>
          <w:sz w:val="24"/>
          <w:szCs w:val="24"/>
        </w:rPr>
      </w:pPr>
    </w:p>
    <w:p w14:paraId="5E908213" w14:textId="2942CC86" w:rsidR="004B30AA" w:rsidRDefault="004B30AA" w:rsidP="00243083">
      <w:pPr>
        <w:autoSpaceDE w:val="0"/>
        <w:autoSpaceDN w:val="0"/>
        <w:spacing w:beforeLines="30" w:before="93" w:line="360" w:lineRule="auto"/>
        <w:ind w:firstLineChars="196" w:firstLine="472"/>
        <w:textAlignment w:val="center"/>
        <w:rPr>
          <w:rFonts w:ascii="宋体" w:hAnsi="宋体"/>
          <w:b/>
          <w:sz w:val="24"/>
          <w:szCs w:val="24"/>
        </w:rPr>
      </w:pPr>
    </w:p>
    <w:p w14:paraId="02ACFEE9" w14:textId="69D2CF8B" w:rsidR="004B30AA" w:rsidRDefault="004B30AA" w:rsidP="00243083">
      <w:pPr>
        <w:autoSpaceDE w:val="0"/>
        <w:autoSpaceDN w:val="0"/>
        <w:spacing w:beforeLines="30" w:before="93" w:line="360" w:lineRule="auto"/>
        <w:ind w:firstLineChars="196" w:firstLine="472"/>
        <w:textAlignment w:val="center"/>
        <w:rPr>
          <w:rFonts w:ascii="宋体" w:hAnsi="宋体"/>
          <w:b/>
          <w:sz w:val="24"/>
          <w:szCs w:val="24"/>
        </w:rPr>
      </w:pPr>
    </w:p>
    <w:p w14:paraId="5770E9A7" w14:textId="77777777" w:rsidR="004B30AA" w:rsidRPr="00A861AC" w:rsidRDefault="004B30AA" w:rsidP="00243083">
      <w:pPr>
        <w:autoSpaceDE w:val="0"/>
        <w:autoSpaceDN w:val="0"/>
        <w:spacing w:beforeLines="30" w:before="93" w:line="360" w:lineRule="auto"/>
        <w:ind w:firstLineChars="196" w:firstLine="472"/>
        <w:textAlignment w:val="center"/>
        <w:rPr>
          <w:rFonts w:ascii="宋体" w:hAnsi="宋体"/>
          <w:b/>
          <w:sz w:val="24"/>
          <w:szCs w:val="24"/>
        </w:rPr>
      </w:pPr>
    </w:p>
    <w:p w14:paraId="07B95258" w14:textId="37E38D67" w:rsidR="00675D65" w:rsidRPr="00A861AC" w:rsidRDefault="00675D65" w:rsidP="00243083">
      <w:pPr>
        <w:autoSpaceDE w:val="0"/>
        <w:autoSpaceDN w:val="0"/>
        <w:spacing w:beforeLines="30" w:before="93" w:line="360" w:lineRule="auto"/>
        <w:ind w:firstLineChars="196" w:firstLine="472"/>
        <w:textAlignment w:val="center"/>
        <w:rPr>
          <w:rFonts w:ascii="宋体" w:hAnsi="宋体"/>
          <w:b/>
          <w:sz w:val="24"/>
          <w:szCs w:val="24"/>
        </w:rPr>
      </w:pPr>
      <w:r w:rsidRPr="00A861AC">
        <w:rPr>
          <w:rFonts w:ascii="宋体" w:hAnsi="宋体" w:hint="eastAsia"/>
          <w:b/>
          <w:sz w:val="24"/>
          <w:szCs w:val="24"/>
        </w:rPr>
        <w:lastRenderedPageBreak/>
        <w:t>基本定义：</w:t>
      </w:r>
    </w:p>
    <w:p w14:paraId="6B98B263" w14:textId="46C2A316" w:rsidR="00675D65" w:rsidRPr="00A861AC" w:rsidRDefault="00675D65" w:rsidP="00243083">
      <w:pPr>
        <w:autoSpaceDE w:val="0"/>
        <w:autoSpaceDN w:val="0"/>
        <w:spacing w:beforeLines="30" w:before="93" w:line="288" w:lineRule="auto"/>
        <w:ind w:firstLineChars="196" w:firstLine="470"/>
        <w:textAlignment w:val="center"/>
        <w:rPr>
          <w:rFonts w:ascii="宋体" w:hAnsi="宋体"/>
          <w:sz w:val="24"/>
          <w:szCs w:val="24"/>
        </w:rPr>
      </w:pPr>
      <w:r w:rsidRPr="00A861AC">
        <w:rPr>
          <w:rFonts w:ascii="宋体" w:hAnsi="宋体" w:hint="eastAsia"/>
          <w:sz w:val="24"/>
          <w:szCs w:val="24"/>
        </w:rPr>
        <w:t>在本</w:t>
      </w:r>
      <w:r w:rsidR="00B605AC" w:rsidRPr="00A861AC">
        <w:rPr>
          <w:rFonts w:ascii="宋体" w:hAnsi="宋体" w:hint="eastAsia"/>
          <w:sz w:val="24"/>
          <w:szCs w:val="24"/>
        </w:rPr>
        <w:t>说明书</w:t>
      </w:r>
      <w:r w:rsidR="007518AA" w:rsidRPr="00A861AC">
        <w:rPr>
          <w:rFonts w:ascii="宋体" w:hAnsi="宋体" w:hint="eastAsia"/>
          <w:sz w:val="24"/>
          <w:szCs w:val="24"/>
        </w:rPr>
        <w:t>中</w:t>
      </w:r>
      <w:r w:rsidRPr="00A861AC">
        <w:rPr>
          <w:rFonts w:ascii="宋体" w:hAnsi="宋体" w:hint="eastAsia"/>
          <w:sz w:val="24"/>
          <w:szCs w:val="24"/>
        </w:rPr>
        <w:t>，除非上下文另有明确约定，下列用语将具有如下含义：</w:t>
      </w:r>
    </w:p>
    <w:p w14:paraId="5C00778D" w14:textId="2FC914E0"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1</w:t>
      </w:r>
      <w:r w:rsidR="00586A88">
        <w:rPr>
          <w:rFonts w:ascii="宋体" w:hAnsi="宋体" w:hint="eastAsia"/>
          <w:b/>
          <w:sz w:val="24"/>
          <w:szCs w:val="24"/>
        </w:rPr>
        <w:t>.</w:t>
      </w:r>
      <w:r w:rsidRPr="00A861AC">
        <w:rPr>
          <w:rFonts w:ascii="宋体" w:hAnsi="宋体"/>
          <w:b/>
          <w:sz w:val="24"/>
          <w:szCs w:val="24"/>
        </w:rPr>
        <w:t>广州农商银行：</w:t>
      </w:r>
      <w:r w:rsidRPr="00A861AC">
        <w:rPr>
          <w:rFonts w:ascii="宋体" w:hAnsi="宋体" w:hint="eastAsia"/>
          <w:sz w:val="24"/>
          <w:szCs w:val="24"/>
        </w:rPr>
        <w:t>指广州农村商业银行股份有限公司。</w:t>
      </w:r>
    </w:p>
    <w:p w14:paraId="18F7322B" w14:textId="5032A76C"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2</w:t>
      </w:r>
      <w:r w:rsidR="00586A88">
        <w:rPr>
          <w:rFonts w:ascii="宋体" w:hAnsi="宋体" w:hint="eastAsia"/>
          <w:b/>
          <w:sz w:val="24"/>
          <w:szCs w:val="24"/>
        </w:rPr>
        <w:t>.</w:t>
      </w:r>
      <w:r w:rsidRPr="00A861AC">
        <w:rPr>
          <w:rFonts w:ascii="宋体" w:hAnsi="宋体"/>
          <w:b/>
          <w:sz w:val="24"/>
          <w:szCs w:val="24"/>
        </w:rPr>
        <w:t>管理人/投资管理人/产品管理人：</w:t>
      </w:r>
      <w:r w:rsidRPr="00A861AC">
        <w:rPr>
          <w:rFonts w:ascii="宋体" w:hAnsi="宋体" w:hint="eastAsia"/>
          <w:sz w:val="24"/>
          <w:szCs w:val="24"/>
        </w:rPr>
        <w:t>指广州农村商业银行股份有限公司。</w:t>
      </w:r>
    </w:p>
    <w:p w14:paraId="5E4C5C35" w14:textId="424DB01A"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3</w:t>
      </w:r>
      <w:r w:rsidR="00586A88">
        <w:rPr>
          <w:rFonts w:ascii="宋体" w:hAnsi="宋体" w:hint="eastAsia"/>
          <w:b/>
          <w:sz w:val="24"/>
          <w:szCs w:val="24"/>
        </w:rPr>
        <w:t>.</w:t>
      </w:r>
      <w:r w:rsidRPr="00A861AC">
        <w:rPr>
          <w:rFonts w:ascii="宋体" w:hAnsi="宋体"/>
          <w:b/>
          <w:sz w:val="24"/>
          <w:szCs w:val="24"/>
        </w:rPr>
        <w:t>投资者/客户：</w:t>
      </w:r>
      <w:r w:rsidRPr="00A861AC">
        <w:rPr>
          <w:rFonts w:ascii="宋体" w:hAnsi="宋体" w:hint="eastAsia"/>
          <w:sz w:val="24"/>
          <w:szCs w:val="24"/>
        </w:rPr>
        <w:t>指签署理财销售协议并向理财产品管理人支付资金购买理财计划份额的投资者。</w:t>
      </w:r>
    </w:p>
    <w:p w14:paraId="327A4D1F" w14:textId="6BEE040B"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4</w:t>
      </w:r>
      <w:r w:rsidR="00586A88">
        <w:rPr>
          <w:rFonts w:ascii="宋体" w:hAnsi="宋体" w:hint="eastAsia"/>
          <w:b/>
          <w:sz w:val="24"/>
          <w:szCs w:val="24"/>
        </w:rPr>
        <w:t>.</w:t>
      </w:r>
      <w:r w:rsidRPr="00A861AC">
        <w:rPr>
          <w:rFonts w:ascii="宋体" w:hAnsi="宋体"/>
          <w:b/>
          <w:sz w:val="24"/>
          <w:szCs w:val="24"/>
        </w:rPr>
        <w:t>产品说明书：</w:t>
      </w:r>
      <w:r w:rsidRPr="00A861AC">
        <w:rPr>
          <w:rFonts w:ascii="宋体" w:hAnsi="宋体" w:hint="eastAsia"/>
          <w:sz w:val="24"/>
          <w:szCs w:val="24"/>
        </w:rPr>
        <w:t>指《广州农商银行</w:t>
      </w:r>
      <w:r w:rsidR="00B12266" w:rsidRPr="00A861AC">
        <w:rPr>
          <w:rFonts w:ascii="宋体" w:hAnsi="宋体" w:hint="eastAsia"/>
          <w:sz w:val="24"/>
          <w:szCs w:val="24"/>
        </w:rPr>
        <w:t>金米同盈</w:t>
      </w:r>
      <w:r w:rsidR="00B12266" w:rsidRPr="00A861AC">
        <w:rPr>
          <w:rFonts w:ascii="宋体" w:hAnsi="宋体"/>
          <w:sz w:val="24"/>
          <w:szCs w:val="24"/>
        </w:rPr>
        <w:t>3个月定开</w:t>
      </w:r>
      <w:r w:rsidR="006E62E4">
        <w:rPr>
          <w:rFonts w:ascii="宋体" w:hAnsi="宋体"/>
          <w:sz w:val="24"/>
          <w:szCs w:val="24"/>
        </w:rPr>
        <w:t>第1期</w:t>
      </w:r>
      <w:r w:rsidR="00DD4662" w:rsidRPr="00A861AC">
        <w:rPr>
          <w:rFonts w:ascii="宋体" w:hAnsi="宋体" w:hint="eastAsia"/>
          <w:sz w:val="24"/>
          <w:szCs w:val="24"/>
        </w:rPr>
        <w:t>（自动赎回）</w:t>
      </w:r>
      <w:r w:rsidRPr="00A861AC">
        <w:rPr>
          <w:rFonts w:ascii="宋体" w:hAnsi="宋体" w:hint="eastAsia"/>
          <w:sz w:val="24"/>
          <w:szCs w:val="24"/>
        </w:rPr>
        <w:t>净值型人民币理财产品说明书》以及对该文件的有效修改或补充</w:t>
      </w:r>
      <w:r w:rsidR="00E67F84" w:rsidRPr="00A861AC">
        <w:rPr>
          <w:rFonts w:ascii="宋体" w:hAnsi="宋体" w:hint="eastAsia"/>
          <w:sz w:val="24"/>
          <w:szCs w:val="24"/>
        </w:rPr>
        <w:t>。</w:t>
      </w:r>
    </w:p>
    <w:p w14:paraId="18ED7F5F" w14:textId="6454F34E"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5</w:t>
      </w:r>
      <w:r w:rsidR="00586A88">
        <w:rPr>
          <w:rFonts w:ascii="宋体" w:hAnsi="宋体" w:hint="eastAsia"/>
          <w:b/>
          <w:sz w:val="24"/>
          <w:szCs w:val="24"/>
        </w:rPr>
        <w:t>.</w:t>
      </w:r>
      <w:r w:rsidRPr="00A861AC">
        <w:rPr>
          <w:rFonts w:ascii="宋体" w:hAnsi="宋体"/>
          <w:b/>
          <w:sz w:val="24"/>
          <w:szCs w:val="24"/>
        </w:rPr>
        <w:t>理财计划/理财产品/产品：</w:t>
      </w:r>
      <w:r w:rsidRPr="00A861AC">
        <w:rPr>
          <w:rFonts w:ascii="宋体" w:hAnsi="宋体"/>
          <w:sz w:val="24"/>
          <w:szCs w:val="24"/>
        </w:rPr>
        <w:t>指</w:t>
      </w:r>
      <w:r w:rsidRPr="00A861AC">
        <w:rPr>
          <w:rFonts w:ascii="宋体" w:hAnsi="宋体" w:hint="eastAsia"/>
          <w:sz w:val="24"/>
          <w:szCs w:val="24"/>
        </w:rPr>
        <w:t>广州农商银行</w:t>
      </w:r>
      <w:r w:rsidR="00B12266" w:rsidRPr="00A861AC">
        <w:rPr>
          <w:rFonts w:ascii="宋体" w:hAnsi="宋体" w:hint="eastAsia"/>
          <w:sz w:val="24"/>
          <w:szCs w:val="24"/>
        </w:rPr>
        <w:t>金</w:t>
      </w:r>
      <w:proofErr w:type="gramStart"/>
      <w:r w:rsidR="00B12266" w:rsidRPr="00A861AC">
        <w:rPr>
          <w:rFonts w:ascii="宋体" w:hAnsi="宋体" w:hint="eastAsia"/>
          <w:sz w:val="24"/>
          <w:szCs w:val="24"/>
        </w:rPr>
        <w:t>米同盈</w:t>
      </w:r>
      <w:r w:rsidR="00B12266" w:rsidRPr="00A861AC">
        <w:rPr>
          <w:rFonts w:ascii="宋体" w:hAnsi="宋体"/>
          <w:sz w:val="24"/>
          <w:szCs w:val="24"/>
        </w:rPr>
        <w:t>3个月</w:t>
      </w:r>
      <w:proofErr w:type="gramEnd"/>
      <w:r w:rsidR="00B12266" w:rsidRPr="00A861AC">
        <w:rPr>
          <w:rFonts w:ascii="宋体" w:hAnsi="宋体" w:hint="eastAsia"/>
          <w:sz w:val="24"/>
          <w:szCs w:val="24"/>
        </w:rPr>
        <w:t>定开</w:t>
      </w:r>
      <w:r w:rsidR="006E62E4">
        <w:rPr>
          <w:rFonts w:ascii="宋体" w:hAnsi="宋体" w:hint="eastAsia"/>
          <w:sz w:val="24"/>
          <w:szCs w:val="24"/>
        </w:rPr>
        <w:t>第1期</w:t>
      </w:r>
      <w:r w:rsidR="00DD4662" w:rsidRPr="00A861AC">
        <w:rPr>
          <w:rFonts w:ascii="宋体" w:hAnsi="宋体" w:hint="eastAsia"/>
          <w:sz w:val="24"/>
          <w:szCs w:val="24"/>
        </w:rPr>
        <w:t>（自动赎回）</w:t>
      </w:r>
      <w:r w:rsidRPr="00A861AC">
        <w:rPr>
          <w:rFonts w:ascii="宋体" w:hAnsi="宋体" w:hint="eastAsia"/>
          <w:sz w:val="24"/>
          <w:szCs w:val="24"/>
        </w:rPr>
        <w:t>人民币理财产品</w:t>
      </w:r>
      <w:r w:rsidRPr="00A861AC">
        <w:rPr>
          <w:rFonts w:ascii="宋体" w:hAnsi="宋体"/>
          <w:sz w:val="24"/>
          <w:szCs w:val="24"/>
        </w:rPr>
        <w:t>。</w:t>
      </w:r>
    </w:p>
    <w:p w14:paraId="6A3C2292" w14:textId="773CFD39" w:rsidR="00370BC7" w:rsidRPr="00A861AC" w:rsidRDefault="00370BC7" w:rsidP="00465C6C">
      <w:pPr>
        <w:ind w:firstLineChars="200" w:firstLine="482"/>
        <w:textAlignment w:val="bottom"/>
        <w:rPr>
          <w:rFonts w:ascii="宋体" w:hAnsi="宋体"/>
          <w:sz w:val="24"/>
          <w:szCs w:val="24"/>
        </w:rPr>
      </w:pPr>
      <w:r w:rsidRPr="00A861AC">
        <w:rPr>
          <w:rFonts w:ascii="宋体" w:hAnsi="宋体"/>
          <w:b/>
          <w:sz w:val="24"/>
          <w:szCs w:val="24"/>
        </w:rPr>
        <w:t>6</w:t>
      </w:r>
      <w:r w:rsidR="00586A88">
        <w:rPr>
          <w:rFonts w:ascii="宋体" w:hAnsi="宋体" w:hint="eastAsia"/>
          <w:b/>
          <w:sz w:val="24"/>
          <w:szCs w:val="24"/>
        </w:rPr>
        <w:t>.</w:t>
      </w:r>
      <w:r w:rsidRPr="00A861AC">
        <w:rPr>
          <w:rFonts w:ascii="宋体" w:hAnsi="宋体"/>
          <w:b/>
          <w:sz w:val="24"/>
          <w:szCs w:val="24"/>
        </w:rPr>
        <w:t>理财份额/理财产品份额/理财计划份额：</w:t>
      </w:r>
      <w:r w:rsidRPr="00A861AC">
        <w:rPr>
          <w:rFonts w:ascii="宋体" w:hAnsi="宋体" w:hint="eastAsia"/>
          <w:sz w:val="24"/>
          <w:szCs w:val="24"/>
        </w:rPr>
        <w:t>指管理人根据理财计划向投资者发行的一种资产受益凭证。理财产品份额持有人基于持有的份额享有产品的收益，承担理财计划的风险。</w:t>
      </w:r>
    </w:p>
    <w:p w14:paraId="20072AAF" w14:textId="79CB60A6"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7</w:t>
      </w:r>
      <w:r w:rsidR="00586A88">
        <w:rPr>
          <w:rFonts w:ascii="宋体" w:hAnsi="宋体" w:hint="eastAsia"/>
          <w:b/>
          <w:sz w:val="24"/>
          <w:szCs w:val="24"/>
        </w:rPr>
        <w:t>.</w:t>
      </w:r>
      <w:r w:rsidRPr="00A861AC">
        <w:rPr>
          <w:rFonts w:ascii="宋体" w:hAnsi="宋体"/>
          <w:b/>
          <w:sz w:val="24"/>
          <w:szCs w:val="24"/>
        </w:rPr>
        <w:t>份额净值/单位净值：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份额的单位净值，即每1份理财</w:t>
      </w:r>
      <w:r w:rsidRPr="00A861AC">
        <w:rPr>
          <w:rFonts w:ascii="宋体" w:hAnsi="宋体" w:hint="eastAsia"/>
          <w:sz w:val="24"/>
          <w:szCs w:val="24"/>
        </w:rPr>
        <w:t>产品</w:t>
      </w:r>
      <w:r w:rsidRPr="00A861AC">
        <w:rPr>
          <w:rFonts w:ascii="宋体" w:hAnsi="宋体"/>
          <w:sz w:val="24"/>
          <w:szCs w:val="24"/>
        </w:rPr>
        <w:t>份额以人民币计价的价格。</w:t>
      </w:r>
    </w:p>
    <w:p w14:paraId="4DFD47C7" w14:textId="0A47C4B5" w:rsidR="00370BC7" w:rsidRPr="00A861AC" w:rsidRDefault="00370BC7" w:rsidP="00370BC7">
      <w:pPr>
        <w:ind w:firstLineChars="200" w:firstLine="482"/>
        <w:textAlignment w:val="bottom"/>
        <w:rPr>
          <w:rFonts w:ascii="宋体" w:hAnsi="宋体"/>
          <w:sz w:val="24"/>
          <w:szCs w:val="24"/>
        </w:rPr>
      </w:pPr>
      <w:r w:rsidRPr="00A861AC">
        <w:rPr>
          <w:rFonts w:ascii="宋体" w:hAnsi="宋体"/>
          <w:b/>
          <w:sz w:val="24"/>
          <w:szCs w:val="24"/>
        </w:rPr>
        <w:t>8</w:t>
      </w:r>
      <w:r w:rsidR="00586A88">
        <w:rPr>
          <w:rFonts w:ascii="宋体" w:hAnsi="宋体" w:hint="eastAsia"/>
          <w:b/>
          <w:sz w:val="24"/>
          <w:szCs w:val="24"/>
        </w:rPr>
        <w:t>.</w:t>
      </w:r>
      <w:r w:rsidRPr="00A861AC">
        <w:rPr>
          <w:rFonts w:ascii="宋体" w:hAnsi="宋体"/>
          <w:b/>
          <w:sz w:val="24"/>
          <w:szCs w:val="24"/>
        </w:rPr>
        <w:t>份额累计净值/单位累计净值</w:t>
      </w:r>
      <w:r w:rsidRPr="00A861AC">
        <w:rPr>
          <w:rFonts w:ascii="宋体" w:hAnsi="宋体"/>
          <w:sz w:val="24"/>
          <w:szCs w:val="24"/>
        </w:rPr>
        <w:t>：指理财</w:t>
      </w:r>
      <w:r w:rsidRPr="00A861AC">
        <w:rPr>
          <w:rFonts w:ascii="宋体" w:hAnsi="宋体" w:hint="eastAsia"/>
          <w:sz w:val="24"/>
          <w:szCs w:val="24"/>
        </w:rPr>
        <w:t>产品</w:t>
      </w:r>
      <w:r w:rsidRPr="00A861AC">
        <w:rPr>
          <w:rFonts w:ascii="宋体" w:hAnsi="宋体"/>
          <w:sz w:val="24"/>
          <w:szCs w:val="24"/>
        </w:rPr>
        <w:t>份额的单位净值与产品成立后历次累计单位收益分配的总和。</w:t>
      </w:r>
    </w:p>
    <w:p w14:paraId="08B76CB8" w14:textId="7E5205BA" w:rsidR="00370BC7" w:rsidRPr="00A861AC" w:rsidRDefault="00370BC7" w:rsidP="00370BC7">
      <w:pPr>
        <w:autoSpaceDE w:val="0"/>
        <w:autoSpaceDN w:val="0"/>
        <w:adjustRightInd w:val="0"/>
        <w:ind w:firstLineChars="200" w:firstLine="482"/>
        <w:rPr>
          <w:rFonts w:ascii="宋体" w:hAnsi="宋体"/>
          <w:sz w:val="24"/>
          <w:szCs w:val="24"/>
        </w:rPr>
      </w:pPr>
      <w:r w:rsidRPr="00A861AC">
        <w:rPr>
          <w:rFonts w:ascii="宋体" w:hAnsi="宋体"/>
          <w:b/>
          <w:sz w:val="24"/>
          <w:szCs w:val="24"/>
        </w:rPr>
        <w:t>9</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sz w:val="24"/>
          <w:szCs w:val="24"/>
        </w:rPr>
        <w:t>指计算评估理财</w:t>
      </w:r>
      <w:r w:rsidRPr="00A861AC">
        <w:rPr>
          <w:rFonts w:ascii="宋体" w:hAnsi="宋体" w:hint="eastAsia"/>
          <w:sz w:val="24"/>
          <w:szCs w:val="24"/>
        </w:rPr>
        <w:t>产品</w:t>
      </w:r>
      <w:r w:rsidRPr="00A861AC">
        <w:rPr>
          <w:rFonts w:ascii="宋体" w:hAnsi="宋体"/>
          <w:sz w:val="24"/>
          <w:szCs w:val="24"/>
        </w:rPr>
        <w:t>资产以确定理财</w:t>
      </w:r>
      <w:r w:rsidRPr="00A861AC">
        <w:rPr>
          <w:rFonts w:ascii="宋体" w:hAnsi="宋体" w:hint="eastAsia"/>
          <w:sz w:val="24"/>
          <w:szCs w:val="24"/>
        </w:rPr>
        <w:t>产品</w:t>
      </w:r>
      <w:r w:rsidRPr="00A861AC">
        <w:rPr>
          <w:rFonts w:ascii="宋体" w:hAnsi="宋体"/>
          <w:sz w:val="24"/>
          <w:szCs w:val="24"/>
        </w:rPr>
        <w:t>份额单位净值的过程。</w:t>
      </w:r>
    </w:p>
    <w:p w14:paraId="7FD296FF" w14:textId="2BB2B6B2" w:rsidR="0092289A" w:rsidRPr="00A861AC" w:rsidRDefault="0092289A" w:rsidP="0092289A">
      <w:pPr>
        <w:pStyle w:val="Default"/>
        <w:ind w:firstLineChars="200" w:firstLine="482"/>
        <w:rPr>
          <w:rFonts w:cs="Times New Roman"/>
          <w:color w:val="auto"/>
          <w:kern w:val="2"/>
        </w:rPr>
      </w:pPr>
      <w:r w:rsidRPr="00A861AC">
        <w:rPr>
          <w:rFonts w:cs="Times New Roman"/>
          <w:b/>
          <w:color w:val="auto"/>
          <w:kern w:val="2"/>
        </w:rPr>
        <w:t>10</w:t>
      </w:r>
      <w:r w:rsidR="00586A88">
        <w:rPr>
          <w:rFonts w:hint="eastAsia"/>
          <w:b/>
        </w:rPr>
        <w:t>.</w:t>
      </w:r>
      <w:r w:rsidRPr="00A861AC">
        <w:rPr>
          <w:rFonts w:cs="Times New Roman" w:hint="eastAsia"/>
          <w:b/>
          <w:color w:val="auto"/>
          <w:kern w:val="2"/>
        </w:rPr>
        <w:t>本金</w:t>
      </w:r>
      <w:r w:rsidRPr="00A861AC">
        <w:rPr>
          <w:rFonts w:cs="Times New Roman"/>
          <w:b/>
          <w:color w:val="auto"/>
          <w:kern w:val="2"/>
        </w:rPr>
        <w:t>/投资本金：</w:t>
      </w:r>
      <w:r w:rsidRPr="00A861AC">
        <w:rPr>
          <w:rFonts w:cs="Times New Roman"/>
          <w:color w:val="auto"/>
          <w:kern w:val="2"/>
        </w:rPr>
        <w:t>就每一投资者而言，指投资者为认购/申购理财</w:t>
      </w:r>
      <w:r w:rsidRPr="00A861AC">
        <w:rPr>
          <w:rFonts w:cs="Times New Roman" w:hint="eastAsia"/>
          <w:color w:val="auto"/>
          <w:kern w:val="2"/>
        </w:rPr>
        <w:t>产品</w:t>
      </w:r>
      <w:r w:rsidRPr="00A861AC">
        <w:rPr>
          <w:rFonts w:cs="Times New Roman"/>
          <w:color w:val="auto"/>
          <w:kern w:val="2"/>
        </w:rPr>
        <w:t>份额而向理财产品管理人交付的货币资金，即该投资者在本理财计划下的初始投资资金。</w:t>
      </w:r>
      <w:r w:rsidRPr="00A861AC">
        <w:rPr>
          <w:rFonts w:cs="Times New Roman"/>
          <w:b/>
          <w:color w:val="auto"/>
          <w:kern w:val="2"/>
        </w:rPr>
        <w:t>为避免疑义，投资本金的称谓仅为方便计算理财</w:t>
      </w:r>
      <w:r w:rsidRPr="00A861AC">
        <w:rPr>
          <w:rFonts w:cs="Times New Roman" w:hint="eastAsia"/>
          <w:b/>
          <w:color w:val="auto"/>
          <w:kern w:val="2"/>
        </w:rPr>
        <w:t>计划</w:t>
      </w:r>
      <w:r w:rsidRPr="00A861AC">
        <w:rPr>
          <w:rFonts w:cs="Times New Roman"/>
          <w:b/>
          <w:color w:val="auto"/>
          <w:kern w:val="2"/>
        </w:rPr>
        <w:t>利益而创设的，并非对投资者投资本金不受损失的承诺。</w:t>
      </w:r>
    </w:p>
    <w:p w14:paraId="4CF7B1C4" w14:textId="0217838A" w:rsidR="0092289A" w:rsidRPr="00A861AC" w:rsidRDefault="0092289A" w:rsidP="0092289A">
      <w:pPr>
        <w:autoSpaceDE w:val="0"/>
        <w:autoSpaceDN w:val="0"/>
        <w:adjustRightInd w:val="0"/>
        <w:ind w:firstLineChars="200" w:firstLine="482"/>
        <w:rPr>
          <w:rFonts w:ascii="宋体" w:hAnsi="宋体"/>
          <w:sz w:val="24"/>
          <w:szCs w:val="24"/>
        </w:rPr>
      </w:pPr>
      <w:r w:rsidRPr="00A861AC">
        <w:rPr>
          <w:rFonts w:ascii="宋体" w:hAnsi="宋体"/>
          <w:b/>
          <w:sz w:val="24"/>
          <w:szCs w:val="24"/>
        </w:rPr>
        <w:t>11</w:t>
      </w:r>
      <w:r w:rsidR="00586A88">
        <w:rPr>
          <w:rFonts w:ascii="宋体" w:hAnsi="宋体" w:hint="eastAsia"/>
          <w:b/>
          <w:sz w:val="24"/>
          <w:szCs w:val="24"/>
        </w:rPr>
        <w:t>.</w:t>
      </w:r>
      <w:r w:rsidRPr="00A861AC">
        <w:rPr>
          <w:rFonts w:ascii="宋体" w:hAnsi="宋体"/>
          <w:b/>
          <w:sz w:val="24"/>
          <w:szCs w:val="24"/>
        </w:rPr>
        <w:t>产品收益：</w:t>
      </w:r>
      <w:r w:rsidRPr="00A861AC">
        <w:rPr>
          <w:rFonts w:ascii="宋体" w:hAnsi="宋体"/>
          <w:sz w:val="24"/>
          <w:szCs w:val="24"/>
        </w:rPr>
        <w:t>指投资者投资理财</w:t>
      </w:r>
      <w:r w:rsidRPr="00A861AC">
        <w:rPr>
          <w:rFonts w:ascii="宋体" w:hAnsi="宋体" w:hint="eastAsia"/>
          <w:sz w:val="24"/>
          <w:szCs w:val="24"/>
        </w:rPr>
        <w:t>产品</w:t>
      </w:r>
      <w:r w:rsidRPr="00A861AC">
        <w:rPr>
          <w:rFonts w:ascii="宋体" w:hAnsi="宋体"/>
          <w:sz w:val="24"/>
          <w:szCs w:val="24"/>
        </w:rPr>
        <w:t>获得的投资收益，该收益为其获得分配的全部理财计划利益中扣除投资本金的部分。</w:t>
      </w:r>
    </w:p>
    <w:p w14:paraId="556B933B" w14:textId="5B1DF370"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12</w:t>
      </w:r>
      <w:r w:rsidR="00586A88">
        <w:rPr>
          <w:rFonts w:ascii="宋体" w:hAnsi="宋体" w:hint="eastAsia"/>
          <w:b/>
          <w:sz w:val="24"/>
          <w:szCs w:val="24"/>
        </w:rPr>
        <w:t>.</w:t>
      </w:r>
      <w:r w:rsidRPr="00A861AC">
        <w:rPr>
          <w:rFonts w:ascii="宋体" w:hAnsi="宋体"/>
          <w:b/>
          <w:sz w:val="24"/>
          <w:szCs w:val="24"/>
        </w:rPr>
        <w:t>同类产品参考业绩比较基准/参考业绩比较基准：</w:t>
      </w:r>
      <w:r w:rsidRPr="00A861AC">
        <w:rPr>
          <w:rFonts w:ascii="宋体" w:hAnsi="宋体" w:hint="eastAsia"/>
          <w:sz w:val="24"/>
          <w:szCs w:val="24"/>
        </w:rPr>
        <w:t>根据产品存续期投资市场波动的预判，按照本产品风险等级、投资方向与资产构成，以广州农商银行投资</w:t>
      </w:r>
      <w:proofErr w:type="gramStart"/>
      <w:r w:rsidRPr="00A861AC">
        <w:rPr>
          <w:rFonts w:ascii="宋体" w:hAnsi="宋体" w:hint="eastAsia"/>
          <w:sz w:val="24"/>
          <w:szCs w:val="24"/>
        </w:rPr>
        <w:t>及风控策略</w:t>
      </w:r>
      <w:proofErr w:type="gramEnd"/>
      <w:r w:rsidRPr="00A861AC">
        <w:rPr>
          <w:rFonts w:ascii="宋体" w:hAnsi="宋体" w:hint="eastAsia"/>
          <w:sz w:val="24"/>
          <w:szCs w:val="24"/>
        </w:rPr>
        <w:t>为准则，并参考广州农商银行发行的同类型理财产品（运作期限、资产投向和投资策略类似的产品）过往业绩表现，确定理财产品同类产品参考业绩比较基准。</w:t>
      </w:r>
      <w:r w:rsidRPr="00A861AC">
        <w:rPr>
          <w:rFonts w:ascii="宋体" w:hAnsi="宋体" w:hint="eastAsia"/>
          <w:b/>
          <w:sz w:val="24"/>
          <w:szCs w:val="24"/>
        </w:rPr>
        <w:t>需要注意的是，同类产品参考业绩比较基准不是理财产品预期收益率，不代表投资者可能获得的实际收益，不构成对本理财产品的任何收益承诺或担保。</w:t>
      </w:r>
    </w:p>
    <w:p w14:paraId="1AFC0EE9" w14:textId="2710F345"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13</w:t>
      </w:r>
      <w:r w:rsidR="00586A88">
        <w:rPr>
          <w:rFonts w:ascii="宋体" w:hAnsi="宋体" w:hint="eastAsia"/>
          <w:b/>
          <w:sz w:val="24"/>
          <w:szCs w:val="24"/>
        </w:rPr>
        <w:t>.</w:t>
      </w:r>
      <w:r w:rsidRPr="00A861AC">
        <w:rPr>
          <w:rFonts w:ascii="宋体" w:hAnsi="宋体"/>
          <w:b/>
          <w:sz w:val="24"/>
          <w:szCs w:val="24"/>
        </w:rPr>
        <w:t>工作日/交易日：</w:t>
      </w:r>
      <w:r w:rsidRPr="00A861AC">
        <w:rPr>
          <w:rFonts w:ascii="宋体" w:hAnsi="宋体" w:hint="eastAsia"/>
          <w:sz w:val="24"/>
          <w:szCs w:val="24"/>
        </w:rPr>
        <w:t>指上海证券交易所和深圳证券交易所的交易日，且同时为银行工作日。</w:t>
      </w:r>
    </w:p>
    <w:p w14:paraId="52D4B744" w14:textId="505177E8" w:rsidR="0092289A" w:rsidRPr="00A861AC" w:rsidRDefault="0092289A" w:rsidP="0092289A">
      <w:pPr>
        <w:ind w:firstLineChars="200" w:firstLine="482"/>
        <w:textAlignment w:val="bottom"/>
        <w:rPr>
          <w:rFonts w:ascii="宋体" w:hAnsi="宋体"/>
          <w:sz w:val="24"/>
          <w:szCs w:val="24"/>
        </w:rPr>
      </w:pPr>
      <w:r w:rsidRPr="00A861AC">
        <w:rPr>
          <w:rFonts w:ascii="宋体" w:hAnsi="宋体"/>
          <w:b/>
          <w:sz w:val="24"/>
          <w:szCs w:val="24"/>
        </w:rPr>
        <w:t>14</w:t>
      </w:r>
      <w:r w:rsidR="00586A88">
        <w:rPr>
          <w:rFonts w:ascii="宋体" w:hAnsi="宋体" w:hint="eastAsia"/>
          <w:b/>
          <w:sz w:val="24"/>
          <w:szCs w:val="24"/>
        </w:rPr>
        <w:t>.</w:t>
      </w:r>
      <w:r w:rsidRPr="00A861AC">
        <w:rPr>
          <w:rFonts w:ascii="宋体" w:hAnsi="宋体"/>
          <w:b/>
          <w:sz w:val="24"/>
          <w:szCs w:val="24"/>
        </w:rPr>
        <w:t>开放日（T日）：</w:t>
      </w:r>
      <w:r w:rsidRPr="00A861AC">
        <w:rPr>
          <w:rFonts w:ascii="宋体" w:hAnsi="宋体" w:hint="eastAsia"/>
          <w:sz w:val="24"/>
          <w:szCs w:val="24"/>
        </w:rPr>
        <w:t>理财产品的申购申请将以开放日的净值进行确认，开放日后第一个工作日为申购确认日。</w:t>
      </w:r>
    </w:p>
    <w:p w14:paraId="45879580" w14:textId="6071D0F4"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15</w:t>
      </w:r>
      <w:r w:rsidR="00586A88">
        <w:rPr>
          <w:rFonts w:ascii="宋体" w:hAnsi="宋体" w:hint="eastAsia"/>
          <w:b/>
          <w:sz w:val="24"/>
          <w:szCs w:val="24"/>
        </w:rPr>
        <w:t>.</w:t>
      </w:r>
      <w:r w:rsidRPr="00A861AC">
        <w:rPr>
          <w:rFonts w:ascii="宋体" w:hAnsi="宋体"/>
          <w:b/>
          <w:sz w:val="24"/>
          <w:szCs w:val="24"/>
        </w:rPr>
        <w:t>认购：</w:t>
      </w:r>
      <w:r w:rsidRPr="00A861AC">
        <w:rPr>
          <w:rFonts w:ascii="宋体" w:hAnsi="宋体" w:hint="eastAsia"/>
          <w:sz w:val="24"/>
          <w:szCs w:val="24"/>
        </w:rPr>
        <w:t>指投资者在产品募集期内购买本产品份额的行为。</w:t>
      </w:r>
    </w:p>
    <w:p w14:paraId="7D7F3B9E" w14:textId="0969FA09"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16</w:t>
      </w:r>
      <w:r w:rsidR="00586A88">
        <w:rPr>
          <w:rFonts w:ascii="宋体" w:hAnsi="宋体" w:hint="eastAsia"/>
          <w:b/>
          <w:sz w:val="24"/>
          <w:szCs w:val="24"/>
        </w:rPr>
        <w:t>.</w:t>
      </w:r>
      <w:r w:rsidRPr="00A861AC">
        <w:rPr>
          <w:rFonts w:ascii="宋体" w:hAnsi="宋体"/>
          <w:b/>
          <w:sz w:val="24"/>
          <w:szCs w:val="24"/>
        </w:rPr>
        <w:t>申购/赎回：</w:t>
      </w:r>
      <w:r w:rsidRPr="00A861AC">
        <w:rPr>
          <w:rFonts w:ascii="宋体" w:hAnsi="宋体" w:hint="eastAsia"/>
          <w:sz w:val="24"/>
          <w:szCs w:val="24"/>
        </w:rPr>
        <w:t>指在理财产品的开放期内，投资者向理财计划管理人提出对份额进行购买或者赎回的行为。</w:t>
      </w:r>
    </w:p>
    <w:p w14:paraId="151F20BA" w14:textId="41A9D322" w:rsidR="0092289A" w:rsidRPr="00A861AC" w:rsidRDefault="0092289A" w:rsidP="0092289A">
      <w:pPr>
        <w:autoSpaceDE w:val="0"/>
        <w:autoSpaceDN w:val="0"/>
        <w:adjustRightInd w:val="0"/>
        <w:ind w:firstLineChars="200" w:firstLine="482"/>
        <w:rPr>
          <w:rFonts w:ascii="宋体" w:hAnsi="宋体"/>
          <w:b/>
          <w:sz w:val="24"/>
          <w:szCs w:val="24"/>
        </w:rPr>
      </w:pPr>
      <w:r w:rsidRPr="00A861AC">
        <w:rPr>
          <w:rFonts w:ascii="宋体" w:hAnsi="宋体"/>
          <w:b/>
          <w:sz w:val="24"/>
          <w:szCs w:val="24"/>
        </w:rPr>
        <w:t>17</w:t>
      </w:r>
      <w:r w:rsidR="00586A88">
        <w:rPr>
          <w:rFonts w:ascii="宋体" w:hAnsi="宋体" w:hint="eastAsia"/>
          <w:b/>
          <w:sz w:val="24"/>
          <w:szCs w:val="24"/>
        </w:rPr>
        <w:t>.</w:t>
      </w:r>
      <w:r w:rsidRPr="00A861AC">
        <w:rPr>
          <w:rFonts w:ascii="宋体" w:hAnsi="宋体"/>
          <w:b/>
          <w:sz w:val="24"/>
          <w:szCs w:val="24"/>
        </w:rPr>
        <w:t>申购确认日：</w:t>
      </w:r>
      <w:r w:rsidRPr="00A861AC">
        <w:rPr>
          <w:rFonts w:ascii="宋体" w:hAnsi="宋体"/>
          <w:sz w:val="24"/>
          <w:szCs w:val="24"/>
        </w:rPr>
        <w:t>每个开放日后的第1个</w:t>
      </w:r>
      <w:r w:rsidRPr="00A861AC">
        <w:rPr>
          <w:rFonts w:ascii="宋体" w:hAnsi="宋体" w:hint="eastAsia"/>
          <w:sz w:val="24"/>
          <w:szCs w:val="24"/>
        </w:rPr>
        <w:t>工作</w:t>
      </w:r>
      <w:r w:rsidRPr="00A861AC">
        <w:rPr>
          <w:rFonts w:ascii="宋体" w:hAnsi="宋体"/>
          <w:sz w:val="24"/>
          <w:szCs w:val="24"/>
        </w:rPr>
        <w:t>日为申购确认日。</w:t>
      </w:r>
    </w:p>
    <w:p w14:paraId="66372AA7" w14:textId="2B158B1B" w:rsidR="00021314" w:rsidRPr="00A861AC" w:rsidRDefault="00021314" w:rsidP="00021314">
      <w:pPr>
        <w:autoSpaceDE w:val="0"/>
        <w:autoSpaceDN w:val="0"/>
        <w:adjustRightInd w:val="0"/>
        <w:ind w:firstLineChars="200" w:firstLine="482"/>
        <w:rPr>
          <w:rFonts w:ascii="宋体" w:hAnsi="宋体"/>
          <w:sz w:val="24"/>
          <w:szCs w:val="24"/>
        </w:rPr>
      </w:pPr>
      <w:r w:rsidRPr="00A861AC">
        <w:rPr>
          <w:rFonts w:ascii="宋体" w:hAnsi="宋体"/>
          <w:b/>
          <w:sz w:val="24"/>
          <w:szCs w:val="24"/>
        </w:rPr>
        <w:t>18</w:t>
      </w:r>
      <w:r w:rsidR="00586A88">
        <w:rPr>
          <w:rFonts w:ascii="宋体" w:hAnsi="宋体" w:hint="eastAsia"/>
          <w:b/>
          <w:sz w:val="24"/>
          <w:szCs w:val="24"/>
        </w:rPr>
        <w:t>.</w:t>
      </w:r>
      <w:r w:rsidRPr="00A861AC">
        <w:rPr>
          <w:rFonts w:ascii="宋体" w:hAnsi="宋体"/>
          <w:b/>
          <w:sz w:val="24"/>
          <w:szCs w:val="24"/>
        </w:rPr>
        <w:t>自动赎回：</w:t>
      </w:r>
      <w:r w:rsidRPr="00A861AC">
        <w:rPr>
          <w:rFonts w:ascii="宋体" w:hAnsi="宋体" w:hint="eastAsia"/>
          <w:sz w:val="24"/>
          <w:szCs w:val="24"/>
        </w:rPr>
        <w:t>本理财产品采取到期份额自动赎回的方式，子周期到期后客户所持有的该周期的所有份额自动赎回。</w:t>
      </w:r>
    </w:p>
    <w:p w14:paraId="6D6C3383" w14:textId="748656C8"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19</w:t>
      </w:r>
      <w:r w:rsidR="00586A88">
        <w:rPr>
          <w:rFonts w:ascii="宋体" w:hAnsi="宋体" w:hint="eastAsia"/>
          <w:b/>
          <w:sz w:val="24"/>
          <w:szCs w:val="24"/>
        </w:rPr>
        <w:t>.</w:t>
      </w:r>
      <w:r w:rsidRPr="00A861AC">
        <w:rPr>
          <w:rFonts w:ascii="宋体" w:hAnsi="宋体"/>
          <w:b/>
          <w:sz w:val="24"/>
          <w:szCs w:val="24"/>
        </w:rPr>
        <w:t>巨额赎回：</w:t>
      </w:r>
      <w:r w:rsidRPr="00A861AC">
        <w:rPr>
          <w:rFonts w:ascii="宋体" w:hAnsi="宋体" w:hint="eastAsia"/>
          <w:sz w:val="24"/>
          <w:szCs w:val="24"/>
        </w:rPr>
        <w:t>产品存续期内的每个开放日，若理财产品份额净赎回申请（赎回</w:t>
      </w:r>
      <w:proofErr w:type="gramStart"/>
      <w:r w:rsidRPr="00A861AC">
        <w:rPr>
          <w:rFonts w:ascii="宋体" w:hAnsi="宋体" w:hint="eastAsia"/>
          <w:sz w:val="24"/>
          <w:szCs w:val="24"/>
        </w:rPr>
        <w:t>申请总</w:t>
      </w:r>
      <w:proofErr w:type="gramEnd"/>
      <w:r w:rsidRPr="00A861AC">
        <w:rPr>
          <w:rFonts w:ascii="宋体" w:hAnsi="宋体" w:hint="eastAsia"/>
          <w:sz w:val="24"/>
          <w:szCs w:val="24"/>
        </w:rPr>
        <w:t>份额扣除申购总份额后的余额</w:t>
      </w:r>
      <w:r w:rsidRPr="00A861AC">
        <w:rPr>
          <w:rFonts w:ascii="宋体" w:hAnsi="宋体"/>
          <w:sz w:val="24"/>
          <w:szCs w:val="24"/>
        </w:rPr>
        <w:t>,</w:t>
      </w:r>
      <w:r w:rsidRPr="00A861AC">
        <w:rPr>
          <w:rFonts w:ascii="宋体" w:hAnsi="宋体" w:hint="eastAsia"/>
          <w:sz w:val="24"/>
          <w:szCs w:val="24"/>
        </w:rPr>
        <w:t>下同）之和达到上一日产品总份额的</w:t>
      </w:r>
      <w:r w:rsidRPr="00A861AC">
        <w:rPr>
          <w:rFonts w:ascii="宋体" w:hAnsi="宋体"/>
          <w:sz w:val="24"/>
          <w:szCs w:val="24"/>
        </w:rPr>
        <w:t>10%</w:t>
      </w:r>
      <w:r w:rsidRPr="00A861AC">
        <w:rPr>
          <w:rFonts w:ascii="宋体" w:hAnsi="宋体" w:hint="eastAsia"/>
          <w:sz w:val="24"/>
          <w:szCs w:val="24"/>
        </w:rPr>
        <w:t>，即为巨额赎回。</w:t>
      </w:r>
    </w:p>
    <w:p w14:paraId="6B01298A" w14:textId="60BC3DE6" w:rsidR="00021314" w:rsidRPr="00A861AC" w:rsidRDefault="00021314" w:rsidP="00021314">
      <w:pPr>
        <w:autoSpaceDE w:val="0"/>
        <w:autoSpaceDN w:val="0"/>
        <w:adjustRightInd w:val="0"/>
        <w:ind w:firstLineChars="200" w:firstLine="482"/>
        <w:rPr>
          <w:rFonts w:ascii="宋体" w:hAnsi="宋体"/>
          <w:b/>
          <w:sz w:val="24"/>
          <w:szCs w:val="24"/>
        </w:rPr>
      </w:pPr>
      <w:r w:rsidRPr="00A861AC">
        <w:rPr>
          <w:rFonts w:ascii="宋体" w:hAnsi="宋体"/>
          <w:b/>
          <w:sz w:val="24"/>
          <w:szCs w:val="24"/>
        </w:rPr>
        <w:t>20</w:t>
      </w:r>
      <w:r w:rsidR="00586A88">
        <w:rPr>
          <w:rFonts w:ascii="宋体" w:hAnsi="宋体" w:hint="eastAsia"/>
          <w:b/>
          <w:sz w:val="24"/>
          <w:szCs w:val="24"/>
        </w:rPr>
        <w:t>.</w:t>
      </w:r>
      <w:r w:rsidRPr="00A861AC">
        <w:rPr>
          <w:rFonts w:ascii="宋体" w:hAnsi="宋体"/>
          <w:b/>
          <w:sz w:val="24"/>
          <w:szCs w:val="24"/>
        </w:rPr>
        <w:t>到期日：</w:t>
      </w:r>
      <w:r w:rsidRPr="00A861AC">
        <w:rPr>
          <w:rFonts w:ascii="宋体" w:hAnsi="宋体" w:hint="eastAsia"/>
          <w:sz w:val="24"/>
          <w:szCs w:val="24"/>
        </w:rPr>
        <w:t>指理财产品期限届满之日，或在产品存续期间内广州农商银行根据产品说</w:t>
      </w:r>
      <w:r w:rsidRPr="00A861AC">
        <w:rPr>
          <w:rFonts w:ascii="宋体" w:hAnsi="宋体" w:hint="eastAsia"/>
          <w:sz w:val="24"/>
          <w:szCs w:val="24"/>
        </w:rPr>
        <w:lastRenderedPageBreak/>
        <w:t>明书约定宣布提前终止本理财计划。</w:t>
      </w:r>
    </w:p>
    <w:p w14:paraId="26A38434" w14:textId="309F9B8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21</w:t>
      </w:r>
      <w:r w:rsidR="00586A88">
        <w:rPr>
          <w:rFonts w:ascii="宋体" w:hAnsi="宋体" w:hint="eastAsia"/>
          <w:b/>
          <w:sz w:val="24"/>
          <w:szCs w:val="24"/>
        </w:rPr>
        <w:t>.</w:t>
      </w:r>
      <w:r w:rsidRPr="00A861AC">
        <w:rPr>
          <w:rFonts w:ascii="宋体" w:hAnsi="宋体"/>
          <w:b/>
          <w:sz w:val="24"/>
          <w:szCs w:val="24"/>
        </w:rPr>
        <w:t>T日：</w:t>
      </w:r>
      <w:r w:rsidRPr="00A861AC">
        <w:rPr>
          <w:rFonts w:ascii="宋体" w:hAnsi="宋体" w:hint="eastAsia"/>
          <w:sz w:val="24"/>
          <w:szCs w:val="24"/>
        </w:rPr>
        <w:t>指某一事件或行为发生的当日，具体以条款约定为准。</w:t>
      </w:r>
    </w:p>
    <w:p w14:paraId="6A13761C" w14:textId="761DCD33" w:rsidR="00021314" w:rsidRPr="00A861AC" w:rsidRDefault="00021314" w:rsidP="00021314">
      <w:pPr>
        <w:ind w:firstLineChars="150" w:firstLine="361"/>
        <w:textAlignment w:val="bottom"/>
        <w:rPr>
          <w:rFonts w:ascii="宋体" w:hAnsi="宋体"/>
          <w:sz w:val="24"/>
          <w:szCs w:val="24"/>
        </w:rPr>
      </w:pPr>
      <w:r w:rsidRPr="00A861AC">
        <w:rPr>
          <w:rFonts w:ascii="宋体" w:hAnsi="宋体"/>
          <w:b/>
          <w:sz w:val="24"/>
          <w:szCs w:val="24"/>
        </w:rPr>
        <w:t>22</w:t>
      </w:r>
      <w:r w:rsidR="00586A88">
        <w:rPr>
          <w:rFonts w:ascii="宋体" w:hAnsi="宋体"/>
          <w:b/>
          <w:sz w:val="24"/>
          <w:szCs w:val="24"/>
        </w:rPr>
        <w:t>.</w:t>
      </w:r>
      <w:r w:rsidRPr="00A861AC">
        <w:rPr>
          <w:rFonts w:ascii="宋体" w:hAnsi="宋体"/>
          <w:b/>
          <w:sz w:val="24"/>
          <w:szCs w:val="24"/>
        </w:rPr>
        <w:t>T+n</w:t>
      </w:r>
      <w:r w:rsidRPr="00A861AC">
        <w:rPr>
          <w:rFonts w:ascii="宋体" w:hAnsi="宋体" w:hint="eastAsia"/>
          <w:b/>
          <w:sz w:val="24"/>
          <w:szCs w:val="24"/>
        </w:rPr>
        <w:t>日</w:t>
      </w:r>
      <w:r w:rsidRPr="00A861AC">
        <w:rPr>
          <w:rFonts w:ascii="宋体" w:hAnsi="宋体"/>
          <w:b/>
          <w:sz w:val="24"/>
          <w:szCs w:val="24"/>
        </w:rPr>
        <w:t>/T-n日：</w:t>
      </w:r>
      <w:r w:rsidRPr="00A861AC">
        <w:rPr>
          <w:rFonts w:ascii="宋体" w:hAnsi="宋体" w:hint="eastAsia"/>
          <w:sz w:val="24"/>
          <w:szCs w:val="24"/>
        </w:rPr>
        <w:t>指</w:t>
      </w:r>
      <w:r w:rsidRPr="00A861AC">
        <w:rPr>
          <w:rFonts w:ascii="宋体" w:hAnsi="宋体"/>
          <w:sz w:val="24"/>
          <w:szCs w:val="24"/>
        </w:rPr>
        <w:t>T日后或前的第n</w:t>
      </w:r>
      <w:proofErr w:type="gramStart"/>
      <w:r w:rsidRPr="00A861AC">
        <w:rPr>
          <w:rFonts w:ascii="宋体" w:hAnsi="宋体" w:hint="eastAsia"/>
          <w:sz w:val="24"/>
          <w:szCs w:val="24"/>
        </w:rPr>
        <w:t>个</w:t>
      </w:r>
      <w:proofErr w:type="gramEnd"/>
      <w:r w:rsidRPr="00A861AC">
        <w:rPr>
          <w:rFonts w:ascii="宋体" w:hAnsi="宋体" w:hint="eastAsia"/>
          <w:sz w:val="24"/>
          <w:szCs w:val="24"/>
        </w:rPr>
        <w:t>工作日。</w:t>
      </w:r>
    </w:p>
    <w:p w14:paraId="07A70B5C" w14:textId="70560AD8"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23</w:t>
      </w:r>
      <w:r w:rsidR="00586A88">
        <w:rPr>
          <w:rFonts w:ascii="宋体" w:hAnsi="宋体" w:hint="eastAsia"/>
          <w:b/>
          <w:sz w:val="24"/>
          <w:szCs w:val="24"/>
        </w:rPr>
        <w:t>.</w:t>
      </w:r>
      <w:r w:rsidRPr="00A861AC">
        <w:rPr>
          <w:rFonts w:ascii="宋体" w:hAnsi="宋体"/>
          <w:b/>
          <w:sz w:val="24"/>
          <w:szCs w:val="24"/>
        </w:rPr>
        <w:t>子周期：</w:t>
      </w:r>
      <w:r w:rsidRPr="00A861AC">
        <w:rPr>
          <w:rFonts w:ascii="宋体" w:hAnsi="宋体" w:hint="eastAsia"/>
          <w:sz w:val="24"/>
          <w:szCs w:val="24"/>
        </w:rPr>
        <w:t>产品每笔认购、申购资金的运作周期。</w:t>
      </w:r>
    </w:p>
    <w:p w14:paraId="2E6B6D37" w14:textId="2FEB0146"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24</w:t>
      </w:r>
      <w:r w:rsidR="00586A88">
        <w:rPr>
          <w:rFonts w:ascii="宋体" w:hAnsi="宋体" w:hint="eastAsia"/>
          <w:b/>
          <w:sz w:val="24"/>
          <w:szCs w:val="24"/>
        </w:rPr>
        <w:t>.</w:t>
      </w:r>
      <w:r w:rsidRPr="00A861AC">
        <w:rPr>
          <w:rFonts w:ascii="宋体" w:hAnsi="宋体"/>
          <w:b/>
          <w:sz w:val="24"/>
          <w:szCs w:val="24"/>
        </w:rPr>
        <w:t>子周期到期日：</w:t>
      </w:r>
      <w:r w:rsidRPr="00A861AC">
        <w:rPr>
          <w:rFonts w:ascii="宋体" w:hAnsi="宋体" w:hint="eastAsia"/>
          <w:sz w:val="24"/>
          <w:szCs w:val="24"/>
        </w:rPr>
        <w:t>产品每笔认购、申购资金预计运作期限届满之日。</w:t>
      </w:r>
    </w:p>
    <w:p w14:paraId="6A499192" w14:textId="659C9732"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25</w:t>
      </w:r>
      <w:r w:rsidR="00586A88">
        <w:rPr>
          <w:rFonts w:ascii="宋体" w:hAnsi="宋体" w:hint="eastAsia"/>
          <w:b/>
          <w:sz w:val="24"/>
          <w:szCs w:val="24"/>
        </w:rPr>
        <w:t>.</w:t>
      </w:r>
      <w:r w:rsidRPr="00A861AC">
        <w:rPr>
          <w:rFonts w:ascii="宋体" w:hAnsi="宋体"/>
          <w:b/>
          <w:sz w:val="24"/>
          <w:szCs w:val="24"/>
        </w:rPr>
        <w:t>同类产品/同类型产品：指资产类型、运作期限、投资策略、风险等级类似的产品。</w:t>
      </w:r>
    </w:p>
    <w:p w14:paraId="23628FE4" w14:textId="43613EEB"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26</w:t>
      </w:r>
      <w:r w:rsidR="00586A88">
        <w:rPr>
          <w:rFonts w:ascii="宋体" w:hAnsi="宋体" w:hint="eastAsia"/>
          <w:b/>
          <w:sz w:val="24"/>
          <w:szCs w:val="24"/>
        </w:rPr>
        <w:t>.</w:t>
      </w:r>
      <w:r w:rsidRPr="00A861AC">
        <w:rPr>
          <w:rFonts w:ascii="宋体" w:hAnsi="宋体"/>
          <w:b/>
          <w:sz w:val="24"/>
          <w:szCs w:val="24"/>
        </w:rPr>
        <w:t>估值：</w:t>
      </w:r>
      <w:r w:rsidRPr="00A861AC">
        <w:rPr>
          <w:rFonts w:ascii="宋体" w:hAnsi="宋体" w:hint="eastAsia"/>
          <w:sz w:val="24"/>
          <w:szCs w:val="24"/>
        </w:rPr>
        <w:t>指计算评估理财产品资产以确定理财计划份额单位净值的过程。</w:t>
      </w:r>
    </w:p>
    <w:p w14:paraId="1736EF5A" w14:textId="04B78A7A"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27</w:t>
      </w:r>
      <w:r w:rsidR="00586A88">
        <w:rPr>
          <w:rFonts w:ascii="宋体" w:hAnsi="宋体" w:hint="eastAsia"/>
          <w:b/>
          <w:sz w:val="24"/>
          <w:szCs w:val="24"/>
        </w:rPr>
        <w:t>.</w:t>
      </w:r>
      <w:r w:rsidRPr="00A861AC">
        <w:rPr>
          <w:rFonts w:ascii="宋体" w:hAnsi="宋体"/>
          <w:b/>
          <w:sz w:val="24"/>
          <w:szCs w:val="24"/>
        </w:rPr>
        <w:t>公允价值：</w:t>
      </w:r>
      <w:r w:rsidRPr="00A861AC">
        <w:rPr>
          <w:rFonts w:ascii="宋体" w:hAnsi="宋体"/>
          <w:sz w:val="24"/>
          <w:szCs w:val="24"/>
        </w:rPr>
        <w:t>亦称公允市价、公允价格。是指熟悉市场情况的买卖双方在公平交易的条件下和自愿的情况下所确定的价格，或无关联的双方在公平交易的条件下一项</w:t>
      </w:r>
      <w:hyperlink r:id="rId8" w:tgtFrame="_blank" w:history="1">
        <w:r w:rsidRPr="00A861AC">
          <w:rPr>
            <w:rFonts w:ascii="宋体" w:hAnsi="宋体"/>
            <w:sz w:val="24"/>
            <w:szCs w:val="24"/>
          </w:rPr>
          <w:t>资产</w:t>
        </w:r>
      </w:hyperlink>
      <w:r w:rsidRPr="00A861AC">
        <w:rPr>
          <w:rFonts w:ascii="宋体" w:hAnsi="宋体"/>
          <w:sz w:val="24"/>
          <w:szCs w:val="24"/>
        </w:rPr>
        <w:t>可以被买卖或者一项负债可以被清偿的成交价格。</w:t>
      </w:r>
    </w:p>
    <w:p w14:paraId="31891B26" w14:textId="10481A47"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28</w:t>
      </w:r>
      <w:r w:rsidR="00586A88">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hint="eastAsia"/>
          <w:b/>
          <w:sz w:val="24"/>
          <w:szCs w:val="24"/>
        </w:rPr>
        <w:t>余成本</w:t>
      </w:r>
      <w:proofErr w:type="gramEnd"/>
      <w:r w:rsidRPr="00A861AC">
        <w:rPr>
          <w:rFonts w:ascii="宋体" w:hAnsi="宋体" w:hint="eastAsia"/>
          <w:b/>
          <w:sz w:val="24"/>
          <w:szCs w:val="24"/>
        </w:rPr>
        <w:t>法计量：</w:t>
      </w:r>
      <w:r w:rsidRPr="00A861AC">
        <w:rPr>
          <w:rFonts w:ascii="宋体" w:hAnsi="宋体"/>
          <w:sz w:val="24"/>
          <w:szCs w:val="24"/>
        </w:rPr>
        <w:t>估值对象以买入成本列示，按照</w:t>
      </w:r>
      <w:hyperlink r:id="rId9" w:tgtFrame="_blank" w:history="1">
        <w:r w:rsidRPr="00A861AC">
          <w:rPr>
            <w:rFonts w:ascii="宋体" w:hAnsi="宋体"/>
            <w:sz w:val="24"/>
            <w:szCs w:val="24"/>
          </w:rPr>
          <w:t>票面利率</w:t>
        </w:r>
      </w:hyperlink>
      <w:r w:rsidRPr="00A861AC">
        <w:rPr>
          <w:rFonts w:ascii="宋体" w:hAnsi="宋体"/>
          <w:sz w:val="24"/>
          <w:szCs w:val="24"/>
        </w:rPr>
        <w:t>或商定利率并考虑其买入时的</w:t>
      </w:r>
      <w:hyperlink r:id="rId10" w:tgtFrame="_blank" w:history="1">
        <w:r w:rsidRPr="00A861AC">
          <w:rPr>
            <w:rFonts w:ascii="宋体" w:hAnsi="宋体"/>
            <w:sz w:val="24"/>
            <w:szCs w:val="24"/>
          </w:rPr>
          <w:t>溢价</w:t>
        </w:r>
      </w:hyperlink>
      <w:r w:rsidRPr="00A861AC">
        <w:rPr>
          <w:rFonts w:ascii="宋体" w:hAnsi="宋体"/>
          <w:sz w:val="24"/>
          <w:szCs w:val="24"/>
        </w:rPr>
        <w:t>与折价，在其剩余期限内平均</w:t>
      </w:r>
      <w:hyperlink r:id="rId11" w:tgtFrame="_blank" w:history="1">
        <w:r w:rsidRPr="00A861AC">
          <w:rPr>
            <w:rFonts w:ascii="宋体" w:hAnsi="宋体"/>
            <w:sz w:val="24"/>
            <w:szCs w:val="24"/>
          </w:rPr>
          <w:t>摊销</w:t>
        </w:r>
      </w:hyperlink>
      <w:r w:rsidRPr="00A861AC">
        <w:rPr>
          <w:rFonts w:ascii="宋体" w:hAnsi="宋体"/>
          <w:sz w:val="24"/>
          <w:szCs w:val="24"/>
        </w:rPr>
        <w:t>，每日</w:t>
      </w:r>
      <w:hyperlink r:id="rId12" w:tgtFrame="_blank" w:history="1">
        <w:r w:rsidRPr="00A861AC">
          <w:rPr>
            <w:rFonts w:ascii="宋体" w:hAnsi="宋体"/>
            <w:sz w:val="24"/>
            <w:szCs w:val="24"/>
          </w:rPr>
          <w:t>计提</w:t>
        </w:r>
      </w:hyperlink>
      <w:r w:rsidRPr="00A861AC">
        <w:rPr>
          <w:rFonts w:ascii="宋体" w:hAnsi="宋体"/>
          <w:sz w:val="24"/>
          <w:szCs w:val="24"/>
        </w:rPr>
        <w:t>收益。简单来说，是将未来的预期现金流入平均摊到持有期的每一天。</w:t>
      </w:r>
      <w:r w:rsidRPr="00A861AC">
        <w:rPr>
          <w:rFonts w:ascii="宋体" w:hAnsi="宋体"/>
          <w:b/>
          <w:sz w:val="24"/>
          <w:szCs w:val="24"/>
        </w:rPr>
        <w:t>需注意的是</w:t>
      </w:r>
      <w:r w:rsidRPr="00A861AC">
        <w:rPr>
          <w:rFonts w:ascii="宋体" w:hAnsi="宋体" w:hint="eastAsia"/>
          <w:b/>
          <w:sz w:val="24"/>
          <w:szCs w:val="24"/>
        </w:rPr>
        <w:t>，</w:t>
      </w:r>
      <w:r w:rsidRPr="00A861AC">
        <w:rPr>
          <w:rFonts w:ascii="宋体" w:hAnsi="宋体"/>
          <w:b/>
          <w:sz w:val="24"/>
          <w:szCs w:val="24"/>
        </w:rPr>
        <w:t>摊</w:t>
      </w:r>
      <w:proofErr w:type="gramStart"/>
      <w:r w:rsidRPr="00A861AC">
        <w:rPr>
          <w:rFonts w:ascii="宋体" w:hAnsi="宋体"/>
          <w:b/>
          <w:sz w:val="24"/>
          <w:szCs w:val="24"/>
        </w:rPr>
        <w:t>余成本</w:t>
      </w:r>
      <w:proofErr w:type="gramEnd"/>
      <w:r w:rsidRPr="00A861AC">
        <w:rPr>
          <w:rFonts w:ascii="宋体" w:hAnsi="宋体"/>
          <w:b/>
          <w:sz w:val="24"/>
          <w:szCs w:val="24"/>
        </w:rPr>
        <w:t>法估值</w:t>
      </w:r>
      <w:r w:rsidRPr="00A861AC">
        <w:rPr>
          <w:rFonts w:ascii="宋体" w:hAnsi="宋体" w:hint="eastAsia"/>
          <w:b/>
          <w:sz w:val="24"/>
          <w:szCs w:val="24"/>
        </w:rPr>
        <w:t>结果仅反映账面价值，可能与资产可变现的公允价值存在一定偏差。</w:t>
      </w:r>
    </w:p>
    <w:p w14:paraId="73E35745" w14:textId="3924D2DC" w:rsidR="00021314" w:rsidRPr="00A861AC" w:rsidRDefault="00021314" w:rsidP="00021314">
      <w:pPr>
        <w:ind w:firstLineChars="147" w:firstLine="354"/>
        <w:textAlignment w:val="bottom"/>
        <w:rPr>
          <w:rFonts w:ascii="宋体" w:hAnsi="宋体"/>
          <w:sz w:val="24"/>
          <w:szCs w:val="24"/>
        </w:rPr>
      </w:pPr>
      <w:r w:rsidRPr="00A861AC">
        <w:rPr>
          <w:rFonts w:ascii="宋体" w:hAnsi="宋体"/>
          <w:b/>
          <w:sz w:val="24"/>
          <w:szCs w:val="24"/>
        </w:rPr>
        <w:t>29</w:t>
      </w:r>
      <w:r w:rsidR="00586A88">
        <w:rPr>
          <w:rFonts w:ascii="宋体" w:hAnsi="宋体" w:hint="eastAsia"/>
          <w:b/>
          <w:sz w:val="24"/>
          <w:szCs w:val="24"/>
        </w:rPr>
        <w:t>.</w:t>
      </w:r>
      <w:r w:rsidRPr="00A861AC">
        <w:rPr>
          <w:rFonts w:ascii="宋体" w:hAnsi="宋体"/>
          <w:b/>
          <w:sz w:val="24"/>
          <w:szCs w:val="24"/>
        </w:rPr>
        <w:t>公允价值法计量：</w:t>
      </w:r>
      <w:r w:rsidRPr="00A861AC">
        <w:rPr>
          <w:rFonts w:ascii="宋体" w:hAnsi="宋体" w:hint="eastAsia"/>
          <w:sz w:val="24"/>
          <w:szCs w:val="24"/>
        </w:rPr>
        <w:t>又称</w:t>
      </w:r>
      <w:r w:rsidRPr="00A861AC">
        <w:rPr>
          <w:rFonts w:ascii="宋体" w:hAnsi="宋体"/>
          <w:sz w:val="24"/>
          <w:szCs w:val="24"/>
        </w:rPr>
        <w:t>市值法，即估值对象以市场价格</w:t>
      </w:r>
      <w:r w:rsidRPr="00A861AC">
        <w:rPr>
          <w:rFonts w:ascii="宋体" w:hAnsi="宋体" w:hint="eastAsia"/>
          <w:sz w:val="24"/>
          <w:szCs w:val="24"/>
        </w:rPr>
        <w:t>、</w:t>
      </w:r>
      <w:r w:rsidRPr="00A861AC">
        <w:rPr>
          <w:rFonts w:ascii="宋体" w:hAnsi="宋体"/>
          <w:sz w:val="24"/>
          <w:szCs w:val="24"/>
        </w:rPr>
        <w:t>第三方估值机构提供的价格数据或通过估值模型进行价值评估，其估值随市场变动而波动</w:t>
      </w:r>
      <w:r w:rsidRPr="00A861AC">
        <w:rPr>
          <w:rFonts w:ascii="宋体" w:hAnsi="宋体" w:hint="eastAsia"/>
          <w:sz w:val="24"/>
          <w:szCs w:val="24"/>
        </w:rPr>
        <w:t>。</w:t>
      </w:r>
    </w:p>
    <w:p w14:paraId="7397E36E" w14:textId="54BA1D2F" w:rsidR="00021314" w:rsidRPr="00A861AC" w:rsidRDefault="00021314" w:rsidP="00021314">
      <w:pPr>
        <w:ind w:firstLineChars="147" w:firstLine="354"/>
        <w:textAlignment w:val="bottom"/>
        <w:rPr>
          <w:rFonts w:ascii="宋体" w:hAnsi="宋体"/>
          <w:b/>
          <w:sz w:val="24"/>
          <w:szCs w:val="24"/>
        </w:rPr>
      </w:pPr>
      <w:r w:rsidRPr="00A861AC">
        <w:rPr>
          <w:rFonts w:ascii="宋体" w:hAnsi="宋体"/>
          <w:b/>
          <w:sz w:val="24"/>
          <w:szCs w:val="24"/>
        </w:rPr>
        <w:t>30</w:t>
      </w:r>
      <w:r w:rsidR="00586A88">
        <w:rPr>
          <w:rFonts w:ascii="宋体" w:hAnsi="宋体"/>
          <w:b/>
          <w:sz w:val="24"/>
          <w:szCs w:val="24"/>
        </w:rPr>
        <w:t>.</w:t>
      </w:r>
      <w:r w:rsidRPr="00A861AC">
        <w:rPr>
          <w:rFonts w:ascii="宋体" w:hAnsi="宋体"/>
          <w:b/>
          <w:sz w:val="24"/>
          <w:szCs w:val="24"/>
        </w:rPr>
        <w:t>摆动定价机制:</w:t>
      </w:r>
      <w:r w:rsidRPr="00A861AC">
        <w:rPr>
          <w:rFonts w:ascii="宋体" w:hAnsi="宋体" w:hint="eastAsia"/>
          <w:sz w:val="24"/>
          <w:szCs w:val="24"/>
        </w:rPr>
        <w:t>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4FCEC6C" w14:textId="02FE770F" w:rsidR="00021314" w:rsidRPr="00A861AC" w:rsidRDefault="00021314" w:rsidP="006B3236">
      <w:pPr>
        <w:ind w:firstLineChars="147" w:firstLine="354"/>
        <w:textAlignment w:val="bottom"/>
        <w:rPr>
          <w:rFonts w:ascii="宋体" w:hAnsi="宋体"/>
          <w:b/>
          <w:sz w:val="24"/>
          <w:szCs w:val="24"/>
        </w:rPr>
      </w:pPr>
      <w:r w:rsidRPr="00A861AC">
        <w:rPr>
          <w:rFonts w:ascii="宋体" w:hAnsi="宋体"/>
          <w:b/>
          <w:sz w:val="24"/>
          <w:szCs w:val="24"/>
        </w:rPr>
        <w:t>31</w:t>
      </w:r>
      <w:r w:rsidR="00586A88">
        <w:rPr>
          <w:rFonts w:ascii="宋体" w:hAnsi="宋体" w:hint="eastAsia"/>
          <w:b/>
          <w:sz w:val="24"/>
          <w:szCs w:val="24"/>
        </w:rPr>
        <w:t>.</w:t>
      </w:r>
      <w:r w:rsidRPr="00A861AC">
        <w:rPr>
          <w:rFonts w:ascii="宋体" w:hAnsi="宋体"/>
          <w:b/>
          <w:sz w:val="24"/>
          <w:szCs w:val="24"/>
        </w:rPr>
        <w:t>不可抗力：</w:t>
      </w:r>
      <w:r w:rsidRPr="00A861AC">
        <w:rPr>
          <w:rFonts w:ascii="宋体" w:hAnsi="宋体"/>
          <w:sz w:val="24"/>
          <w:szCs w:val="24"/>
        </w:rPr>
        <w:t>指理财计划各方不能预见、不能避免且不能克服的客观情况，该事件妨碍、影响或延误任何一方</w:t>
      </w:r>
      <w:proofErr w:type="gramStart"/>
      <w:r w:rsidRPr="00A861AC">
        <w:rPr>
          <w:rFonts w:ascii="宋体" w:hAnsi="宋体"/>
          <w:sz w:val="24"/>
          <w:szCs w:val="24"/>
        </w:rPr>
        <w:t>依相关</w:t>
      </w:r>
      <w:proofErr w:type="gramEnd"/>
      <w:r w:rsidRPr="00A861AC">
        <w:rPr>
          <w:rFonts w:ascii="宋体" w:hAnsi="宋体"/>
          <w:sz w:val="24"/>
          <w:szCs w:val="24"/>
        </w:rPr>
        <w:t>理财产品文件履行其全部或部分义务。该事件包括但不限于：</w:t>
      </w:r>
    </w:p>
    <w:p w14:paraId="1606AFA6"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a. 地震、台风、海啸、洪水、火灾、停电、瘟疫；</w:t>
      </w:r>
    </w:p>
    <w:p w14:paraId="198D209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b. 战争、政变、恐怖主义行动、骚乱、罢工；</w:t>
      </w:r>
    </w:p>
    <w:p w14:paraId="56270310"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c. 新的适用法律或国家政策的颁布或实施、对原适用法律或国家政策的修改；</w:t>
      </w:r>
    </w:p>
    <w:p w14:paraId="31AD52FB"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d. 金融管理部门强制要求终止理财计划（该等强制要求不可归咎于任何一方）；及</w:t>
      </w:r>
    </w:p>
    <w:p w14:paraId="61553CAD" w14:textId="77777777" w:rsidR="00021314" w:rsidRPr="00A861AC" w:rsidRDefault="00021314" w:rsidP="00021314">
      <w:pPr>
        <w:autoSpaceDE w:val="0"/>
        <w:autoSpaceDN w:val="0"/>
        <w:adjustRightInd w:val="0"/>
        <w:ind w:firstLineChars="200" w:firstLine="480"/>
        <w:rPr>
          <w:rFonts w:ascii="宋体" w:hAnsi="宋体"/>
          <w:sz w:val="24"/>
          <w:szCs w:val="24"/>
        </w:rPr>
      </w:pPr>
      <w:r w:rsidRPr="00A861AC">
        <w:rPr>
          <w:rFonts w:ascii="宋体" w:hAnsi="宋体"/>
          <w:sz w:val="24"/>
          <w:szCs w:val="24"/>
        </w:rPr>
        <w:t>e. 因理财计划各方和/或其关联方运营网络系统遭受黑客攻击、电信部门技术调整或故障等原因而造成的理财计划各方和/或其关联方之服务、营业的中断或者延迟。</w:t>
      </w:r>
    </w:p>
    <w:p w14:paraId="1E059C5B" w14:textId="77777777" w:rsidR="00021314" w:rsidRPr="00A861AC" w:rsidRDefault="00021314" w:rsidP="00021314">
      <w:pPr>
        <w:ind w:firstLine="0"/>
        <w:textAlignment w:val="bottom"/>
        <w:rPr>
          <w:rFonts w:ascii="宋体" w:hAnsi="宋体"/>
          <w:sz w:val="24"/>
          <w:szCs w:val="24"/>
        </w:rPr>
      </w:pPr>
    </w:p>
    <w:p w14:paraId="584C0AED" w14:textId="77777777" w:rsidR="0092289A" w:rsidRPr="00A861AC" w:rsidRDefault="0092289A" w:rsidP="0092289A">
      <w:pPr>
        <w:ind w:firstLine="480"/>
        <w:textAlignment w:val="bottom"/>
        <w:rPr>
          <w:rFonts w:ascii="宋体" w:hAnsi="宋体"/>
          <w:sz w:val="24"/>
          <w:szCs w:val="24"/>
        </w:rPr>
      </w:pPr>
    </w:p>
    <w:p w14:paraId="784C04F4" w14:textId="77777777" w:rsidR="0092289A" w:rsidRPr="00A861AC" w:rsidRDefault="0092289A" w:rsidP="0092289A">
      <w:pPr>
        <w:ind w:firstLine="480"/>
        <w:textAlignment w:val="bottom"/>
        <w:rPr>
          <w:rFonts w:ascii="宋体" w:hAnsi="宋体"/>
          <w:sz w:val="24"/>
          <w:szCs w:val="24"/>
        </w:rPr>
      </w:pPr>
    </w:p>
    <w:p w14:paraId="17670333" w14:textId="77777777" w:rsidR="00370BC7" w:rsidRPr="00A861AC" w:rsidRDefault="00370BC7" w:rsidP="00370BC7">
      <w:pPr>
        <w:autoSpaceDE w:val="0"/>
        <w:autoSpaceDN w:val="0"/>
        <w:adjustRightInd w:val="0"/>
        <w:ind w:firstLineChars="200" w:firstLine="480"/>
        <w:rPr>
          <w:rFonts w:ascii="宋体" w:hAnsi="宋体"/>
          <w:sz w:val="24"/>
          <w:szCs w:val="24"/>
        </w:rPr>
      </w:pPr>
      <w:r w:rsidRPr="00A861AC">
        <w:rPr>
          <w:rFonts w:ascii="宋体" w:hAnsi="宋体"/>
          <w:sz w:val="24"/>
          <w:szCs w:val="24"/>
        </w:rPr>
        <w:t>。</w:t>
      </w:r>
    </w:p>
    <w:p w14:paraId="65F2670F" w14:textId="77777777" w:rsidR="00370BC7" w:rsidRPr="00A861AC" w:rsidRDefault="00370BC7" w:rsidP="00370BC7">
      <w:pPr>
        <w:ind w:firstLine="0"/>
        <w:textAlignment w:val="bottom"/>
        <w:rPr>
          <w:rFonts w:ascii="宋体" w:hAnsi="宋体"/>
          <w:sz w:val="24"/>
          <w:szCs w:val="24"/>
        </w:rPr>
      </w:pPr>
    </w:p>
    <w:p w14:paraId="1F6898BF" w14:textId="77777777" w:rsidR="00370BC7" w:rsidRPr="00A861AC" w:rsidRDefault="00370BC7" w:rsidP="00370BC7">
      <w:pPr>
        <w:ind w:firstLine="480"/>
        <w:textAlignment w:val="bottom"/>
        <w:rPr>
          <w:rFonts w:ascii="宋体" w:hAnsi="宋体"/>
          <w:sz w:val="24"/>
          <w:szCs w:val="24"/>
        </w:rPr>
      </w:pPr>
    </w:p>
    <w:p w14:paraId="0AB89941" w14:textId="77777777" w:rsidR="00370BC7" w:rsidRPr="00A861AC" w:rsidRDefault="00370BC7" w:rsidP="00370BC7">
      <w:pPr>
        <w:ind w:firstLine="480"/>
        <w:textAlignment w:val="bottom"/>
        <w:rPr>
          <w:rFonts w:ascii="宋体" w:hAnsi="宋体"/>
          <w:sz w:val="24"/>
          <w:szCs w:val="24"/>
        </w:rPr>
      </w:pPr>
    </w:p>
    <w:p w14:paraId="66DBF920" w14:textId="77777777" w:rsidR="00370BC7" w:rsidRPr="00A861AC" w:rsidRDefault="00370BC7" w:rsidP="00243083">
      <w:pPr>
        <w:autoSpaceDE w:val="0"/>
        <w:autoSpaceDN w:val="0"/>
        <w:spacing w:beforeLines="30" w:before="93" w:line="288" w:lineRule="auto"/>
        <w:ind w:firstLineChars="196" w:firstLine="470"/>
        <w:textAlignment w:val="center"/>
        <w:rPr>
          <w:rFonts w:ascii="宋体" w:hAnsi="宋体"/>
          <w:sz w:val="24"/>
          <w:szCs w:val="24"/>
        </w:rPr>
      </w:pPr>
    </w:p>
    <w:p w14:paraId="1FF12867" w14:textId="77777777" w:rsidR="00675D65" w:rsidRPr="00156B89" w:rsidRDefault="00675D65">
      <w:pPr>
        <w:widowControl/>
        <w:ind w:firstLine="0"/>
        <w:rPr>
          <w:rFonts w:ascii="宋体" w:hAnsi="宋体"/>
          <w:szCs w:val="21"/>
        </w:rPr>
      </w:pPr>
      <w:r w:rsidRPr="00156B89">
        <w:rPr>
          <w:rFonts w:ascii="宋体" w:hAnsi="宋体"/>
          <w:szCs w:val="21"/>
        </w:rPr>
        <w:br w:type="page"/>
      </w:r>
    </w:p>
    <w:p w14:paraId="233EABC5" w14:textId="77777777" w:rsidR="002F37A7" w:rsidRPr="00156B89" w:rsidRDefault="002F37A7" w:rsidP="00156B89">
      <w:pPr>
        <w:pStyle w:val="2"/>
        <w:rPr>
          <w:rFonts w:ascii="宋体" w:hAnsi="宋体"/>
          <w:kern w:val="0"/>
          <w:szCs w:val="21"/>
        </w:rPr>
      </w:pPr>
      <w:r w:rsidRPr="00156B89">
        <w:rPr>
          <w:rFonts w:hint="eastAsia"/>
        </w:rPr>
        <w:lastRenderedPageBreak/>
        <w:t>产品要素</w:t>
      </w:r>
    </w:p>
    <w:tbl>
      <w:tblPr>
        <w:tblpPr w:leftFromText="180" w:rightFromText="180" w:vertAnchor="text" w:tblpXSpec="center" w:tblpY="1"/>
        <w:tblOverlap w:val="never"/>
        <w:tblW w:w="5000" w:type="pct"/>
        <w:tblCellMar>
          <w:left w:w="0" w:type="dxa"/>
          <w:right w:w="0" w:type="dxa"/>
        </w:tblCellMar>
        <w:tblLook w:val="0000" w:firstRow="0" w:lastRow="0" w:firstColumn="0" w:lastColumn="0" w:noHBand="0" w:noVBand="0"/>
      </w:tblPr>
      <w:tblGrid>
        <w:gridCol w:w="2550"/>
        <w:gridCol w:w="7058"/>
      </w:tblGrid>
      <w:tr w:rsidR="00B52465" w:rsidRPr="00A861AC" w14:paraId="69F438B0" w14:textId="77777777" w:rsidTr="00156B89">
        <w:trPr>
          <w:trHeight w:val="553"/>
        </w:trPr>
        <w:tc>
          <w:tcPr>
            <w:tcW w:w="1327" w:type="pct"/>
            <w:tcBorders>
              <w:top w:val="single" w:sz="12"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6442"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产品名称</w:t>
            </w:r>
          </w:p>
        </w:tc>
        <w:tc>
          <w:tcPr>
            <w:tcW w:w="3673" w:type="pct"/>
            <w:tcBorders>
              <w:top w:val="single" w:sz="12"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522FA96" w14:textId="55E951EE" w:rsidR="00B52465" w:rsidRPr="007801A1" w:rsidRDefault="00B52465" w:rsidP="007801A1">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“金米同盈</w:t>
            </w:r>
            <w:r w:rsidRPr="007801A1">
              <w:rPr>
                <w:rFonts w:asciiTheme="minorEastAsia" w:eastAsiaTheme="minorEastAsia" w:hAnsiTheme="minorEastAsia" w:cs="宋体"/>
                <w:kern w:val="0"/>
                <w:szCs w:val="21"/>
              </w:rPr>
              <w:t>3个月定开第1期（自动赎回）”净值型理财产品</w:t>
            </w:r>
          </w:p>
        </w:tc>
      </w:tr>
      <w:tr w:rsidR="00B52465" w:rsidRPr="00A861AC" w14:paraId="61FC24F0" w14:textId="77777777" w:rsidTr="00156B89">
        <w:trPr>
          <w:trHeight w:val="385"/>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2F9CDD" w14:textId="72F8FFD5"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产品编号</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2A1BDD4" w14:textId="557B8F8E"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DXTYDK3M001</w:t>
            </w:r>
          </w:p>
        </w:tc>
      </w:tr>
      <w:tr w:rsidR="00B52465" w:rsidRPr="00A861AC" w14:paraId="54D4BC63" w14:textId="77777777" w:rsidTr="00156B89">
        <w:trPr>
          <w:trHeight w:val="405"/>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2121EA80"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理财信息登记系统登记编码</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D2DE5C7" w14:textId="003F1A20"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C1131221000484</w:t>
            </w:r>
          </w:p>
        </w:tc>
      </w:tr>
      <w:tr w:rsidR="00B52465" w:rsidRPr="00A861AC" w14:paraId="04D934A9" w14:textId="77777777" w:rsidTr="00A10CB1">
        <w:trPr>
          <w:trHeight w:val="562"/>
        </w:trPr>
        <w:tc>
          <w:tcPr>
            <w:tcW w:w="1327" w:type="pct"/>
            <w:tcBorders>
              <w:top w:val="nil"/>
              <w:left w:val="single" w:sz="12" w:space="0" w:color="auto"/>
              <w:bottom w:val="single" w:sz="2" w:space="0" w:color="auto"/>
              <w:right w:val="single" w:sz="4" w:space="0" w:color="auto"/>
            </w:tcBorders>
            <w:shd w:val="clear" w:color="auto" w:fill="auto"/>
            <w:tcMar>
              <w:top w:w="15" w:type="dxa"/>
              <w:left w:w="15" w:type="dxa"/>
              <w:bottom w:w="0" w:type="dxa"/>
              <w:right w:w="15" w:type="dxa"/>
            </w:tcMar>
            <w:vAlign w:val="center"/>
          </w:tcPr>
          <w:p w14:paraId="004C0B8B"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产品类型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63845B" w14:textId="52132368" w:rsidR="00B52465" w:rsidRPr="007801A1" w:rsidRDefault="00A519A6"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Pr>
                <w:rFonts w:ascii="宋体" w:hAnsi="宋体" w:cs="宋体" w:hint="eastAsia"/>
                <w:kern w:val="0"/>
                <w:szCs w:val="21"/>
              </w:rPr>
              <w:t>非保本浮动收益净值型</w:t>
            </w:r>
          </w:p>
        </w:tc>
      </w:tr>
      <w:tr w:rsidR="00B52465" w:rsidRPr="00A861AC" w14:paraId="6B3E207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1BC5EF95"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产品分类</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1384DDD0" w14:textId="77777777"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固定收益类</w:t>
            </w:r>
          </w:p>
        </w:tc>
      </w:tr>
      <w:tr w:rsidR="00B52465" w:rsidRPr="00A861AC" w14:paraId="27D44DE9" w14:textId="77777777" w:rsidTr="00A519A6">
        <w:trPr>
          <w:trHeight w:val="495"/>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5915B0F7" w14:textId="38077881"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产品运作模式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3032CC4C" w14:textId="6C4AACB4"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定期开放式净值型产品</w:t>
            </w:r>
          </w:p>
        </w:tc>
      </w:tr>
      <w:tr w:rsidR="00B52465" w:rsidRPr="00A861AC" w14:paraId="5EBF341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4F98BE9" w14:textId="78A9CABE"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募集方式</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24795BB0" w14:textId="6EB498B7"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公募</w:t>
            </w:r>
          </w:p>
        </w:tc>
      </w:tr>
      <w:tr w:rsidR="00B52465" w:rsidRPr="00A861AC" w14:paraId="7740767B"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4970865E"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产品风险评级</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7CDF97D7" w14:textId="0F9CE42E" w:rsidR="00B52465" w:rsidRPr="007801A1" w:rsidRDefault="00B52465" w:rsidP="00B52465">
            <w:pPr>
              <w:spacing w:line="300" w:lineRule="exac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根据广州农商银行理财产品风险评级，本产品为中低风险（理财产品风险评级为：低风险、中低风险、中风险、中高风险、高风险。</w:t>
            </w:r>
          </w:p>
          <w:p w14:paraId="28D10F30" w14:textId="30E86818" w:rsidR="00B52465" w:rsidRPr="007801A1" w:rsidRDefault="00B52465" w:rsidP="00B52465">
            <w:pPr>
              <w:spacing w:line="300" w:lineRule="exact"/>
              <w:ind w:firstLineChars="200" w:firstLine="422"/>
              <w:rPr>
                <w:rFonts w:asciiTheme="minorEastAsia" w:eastAsiaTheme="minorEastAsia" w:hAnsiTheme="minorEastAsia" w:cs="宋体"/>
                <w:b/>
                <w:kern w:val="0"/>
                <w:szCs w:val="21"/>
              </w:rPr>
            </w:pPr>
            <w:r w:rsidRPr="007801A1">
              <w:rPr>
                <w:rFonts w:asciiTheme="minorEastAsia" w:eastAsiaTheme="minorEastAsia" w:hAnsiTheme="minorEastAsia" w:cs="宋体" w:hint="eastAsia"/>
                <w:b/>
                <w:kern w:val="0"/>
                <w:szCs w:val="21"/>
              </w:rPr>
              <w:t>该产品通过代理销售机构渠道销售的，理财产品评级应当以代理销售机构最终披露的评级结果为准。代理销售机构不承担产品的投资、兑付和风险管理的责任。</w:t>
            </w:r>
          </w:p>
        </w:tc>
      </w:tr>
      <w:tr w:rsidR="00B52465" w:rsidRPr="00A861AC" w14:paraId="1EA155B8"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7F0E48E9"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适合客户类型</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62101924" w14:textId="77777777" w:rsidR="00B52465" w:rsidRPr="007801A1" w:rsidRDefault="00B52465" w:rsidP="00B52465">
            <w:pPr>
              <w:widowControl/>
              <w:spacing w:line="300" w:lineRule="exact"/>
              <w:ind w:firstLine="482"/>
              <w:rPr>
                <w:rFonts w:asciiTheme="minorEastAsia" w:eastAsiaTheme="minorEastAsia" w:hAnsiTheme="minorEastAsia" w:cs="宋体"/>
                <w:b/>
                <w:bCs/>
                <w:kern w:val="0"/>
                <w:szCs w:val="21"/>
              </w:rPr>
            </w:pPr>
            <w:r w:rsidRPr="007801A1">
              <w:rPr>
                <w:rFonts w:asciiTheme="minorEastAsia" w:eastAsiaTheme="minorEastAsia" w:hAnsiTheme="minorEastAsia" w:cs="宋体" w:hint="eastAsia"/>
                <w:kern w:val="0"/>
                <w:szCs w:val="21"/>
              </w:rPr>
              <w:t>经广州农村商业银行客户风险承受能力评估为</w:t>
            </w:r>
            <w:r w:rsidRPr="007801A1">
              <w:rPr>
                <w:rFonts w:asciiTheme="minorEastAsia" w:eastAsiaTheme="minorEastAsia" w:hAnsiTheme="minorEastAsia" w:cs="宋体" w:hint="eastAsia"/>
                <w:b/>
                <w:kern w:val="0"/>
                <w:szCs w:val="21"/>
              </w:rPr>
              <w:t>稳健型及以上</w:t>
            </w:r>
            <w:r w:rsidRPr="007801A1">
              <w:rPr>
                <w:rFonts w:asciiTheme="minorEastAsia" w:eastAsiaTheme="minorEastAsia" w:hAnsiTheme="minorEastAsia" w:cs="宋体" w:hint="eastAsia"/>
                <w:kern w:val="0"/>
                <w:szCs w:val="21"/>
              </w:rPr>
              <w:t>的投资者。</w:t>
            </w:r>
          </w:p>
        </w:tc>
      </w:tr>
      <w:tr w:rsidR="00B52465" w:rsidRPr="00A861AC" w14:paraId="76BBFC0E" w14:textId="77777777" w:rsidTr="00156B89">
        <w:trPr>
          <w:trHeight w:val="436"/>
        </w:trPr>
        <w:tc>
          <w:tcPr>
            <w:tcW w:w="1327" w:type="pct"/>
            <w:tcBorders>
              <w:top w:val="single" w:sz="2" w:space="0" w:color="auto"/>
              <w:left w:val="single" w:sz="12" w:space="0" w:color="auto"/>
              <w:bottom w:val="single" w:sz="2" w:space="0" w:color="auto"/>
              <w:right w:val="single" w:sz="2" w:space="0" w:color="auto"/>
            </w:tcBorders>
            <w:shd w:val="clear" w:color="auto" w:fill="auto"/>
            <w:tcMar>
              <w:top w:w="15" w:type="dxa"/>
              <w:left w:w="15" w:type="dxa"/>
              <w:bottom w:w="0" w:type="dxa"/>
              <w:right w:w="15" w:type="dxa"/>
            </w:tcMar>
            <w:vAlign w:val="center"/>
          </w:tcPr>
          <w:p w14:paraId="2E622CF1"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本金及收益币种</w:t>
            </w:r>
          </w:p>
        </w:tc>
        <w:tc>
          <w:tcPr>
            <w:tcW w:w="3673" w:type="pct"/>
            <w:tcBorders>
              <w:top w:val="single" w:sz="4" w:space="0" w:color="auto"/>
              <w:left w:val="single" w:sz="2" w:space="0" w:color="auto"/>
              <w:bottom w:val="single" w:sz="4" w:space="0" w:color="auto"/>
              <w:right w:val="single" w:sz="12" w:space="0" w:color="auto"/>
            </w:tcBorders>
            <w:shd w:val="clear" w:color="auto" w:fill="auto"/>
            <w:tcMar>
              <w:top w:w="15" w:type="dxa"/>
              <w:left w:w="15" w:type="dxa"/>
              <w:bottom w:w="0" w:type="dxa"/>
              <w:right w:w="15" w:type="dxa"/>
            </w:tcMar>
            <w:vAlign w:val="center"/>
          </w:tcPr>
          <w:p w14:paraId="0762DCC4" w14:textId="77777777"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人民币</w:t>
            </w:r>
          </w:p>
        </w:tc>
      </w:tr>
      <w:tr w:rsidR="00B52465" w:rsidRPr="00A861AC" w14:paraId="24CF0DC6"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C18F69" w14:textId="77777777"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发行规模</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A77F65" w14:textId="77777777"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发行规模不设下限，发行规模上限不定期公布</w:t>
            </w:r>
          </w:p>
        </w:tc>
      </w:tr>
      <w:tr w:rsidR="00B52465" w:rsidRPr="00A861AC" w14:paraId="2E4CD934" w14:textId="77777777" w:rsidTr="00156B89">
        <w:trPr>
          <w:trHeight w:val="444"/>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5034BB" w14:textId="10EA782E" w:rsidR="00B52465" w:rsidRPr="007801A1" w:rsidRDefault="00B52465" w:rsidP="00B52465">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产品期限</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E03AE91" w14:textId="77777777" w:rsidR="00B52465" w:rsidRPr="007801A1" w:rsidRDefault="00B52465" w:rsidP="00B52465">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本理财产品将持续运作，无固定期限</w:t>
            </w:r>
          </w:p>
        </w:tc>
      </w:tr>
      <w:tr w:rsidR="005948BD" w:rsidRPr="00A861AC" w14:paraId="5D1DB7EB" w14:textId="77777777" w:rsidTr="00156B89">
        <w:trPr>
          <w:trHeight w:val="438"/>
        </w:trPr>
        <w:tc>
          <w:tcPr>
            <w:tcW w:w="1327" w:type="pct"/>
            <w:tcBorders>
              <w:top w:val="nil"/>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356247"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募集期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C081515" w14:textId="6C0480BD" w:rsidR="005948BD" w:rsidRPr="007801A1" w:rsidRDefault="005948BD" w:rsidP="007801A1">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2021年9月28日---2021年10月11日</w:t>
            </w:r>
          </w:p>
        </w:tc>
      </w:tr>
      <w:tr w:rsidR="005948BD" w:rsidRPr="00A861AC" w14:paraId="38552D6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25A4C9"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认购确认日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bottom"/>
          </w:tcPr>
          <w:p w14:paraId="372F9ADF" w14:textId="712617BF" w:rsidR="005948BD" w:rsidRPr="007801A1" w:rsidRDefault="005948BD" w:rsidP="007801A1">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 2021年10月12日</w:t>
            </w:r>
          </w:p>
        </w:tc>
      </w:tr>
      <w:tr w:rsidR="005948BD" w:rsidRPr="00A861AC" w14:paraId="50D0244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6BBEB2A"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理财存续期</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23971D0" w14:textId="3D78BDB1" w:rsidR="005948BD" w:rsidRPr="007801A1" w:rsidRDefault="005948BD" w:rsidP="005948BD">
            <w:pPr>
              <w:spacing w:line="300" w:lineRule="exac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2021年10月12日</w:t>
            </w:r>
            <w:proofErr w:type="gramStart"/>
            <w:r w:rsidRPr="007801A1">
              <w:rPr>
                <w:rFonts w:asciiTheme="minorEastAsia" w:eastAsiaTheme="minorEastAsia" w:hAnsiTheme="minorEastAsia" w:cs="宋体" w:hint="eastAsia"/>
                <w:kern w:val="0"/>
                <w:szCs w:val="21"/>
              </w:rPr>
              <w:t>至产品</w:t>
            </w:r>
            <w:proofErr w:type="gramEnd"/>
            <w:r w:rsidRPr="007801A1">
              <w:rPr>
                <w:rFonts w:asciiTheme="minorEastAsia" w:eastAsiaTheme="minorEastAsia" w:hAnsiTheme="minorEastAsia" w:cs="宋体" w:hint="eastAsia"/>
                <w:kern w:val="0"/>
                <w:szCs w:val="21"/>
              </w:rPr>
              <w:t>终止日（广州农商银行有权根据市场及产品运作等情况至少提前3个工作日</w:t>
            </w:r>
            <w:proofErr w:type="gramStart"/>
            <w:r w:rsidRPr="007801A1">
              <w:rPr>
                <w:rFonts w:asciiTheme="minorEastAsia" w:eastAsiaTheme="minorEastAsia" w:hAnsiTheme="minorEastAsia" w:cs="宋体" w:hint="eastAsia"/>
                <w:kern w:val="0"/>
                <w:szCs w:val="21"/>
              </w:rPr>
              <w:t>在官网公告</w:t>
            </w:r>
            <w:proofErr w:type="gramEnd"/>
            <w:r w:rsidRPr="007801A1">
              <w:rPr>
                <w:rFonts w:asciiTheme="minorEastAsia" w:eastAsiaTheme="minorEastAsia" w:hAnsiTheme="minorEastAsia" w:cs="宋体" w:hint="eastAsia"/>
                <w:kern w:val="0"/>
                <w:szCs w:val="21"/>
              </w:rPr>
              <w:t>产品终止日）</w:t>
            </w:r>
          </w:p>
        </w:tc>
      </w:tr>
      <w:tr w:rsidR="005948BD" w:rsidRPr="00A861AC" w14:paraId="2A23D6FB"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0DCC2E"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产品不成立</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0AAF77F" w14:textId="3E7206A8" w:rsidR="00A519A6" w:rsidRDefault="00A519A6" w:rsidP="00A519A6">
            <w:pPr>
              <w:spacing w:line="300" w:lineRule="exact"/>
              <w:ind w:firstLineChars="200" w:firstLine="420"/>
              <w:rPr>
                <w:rFonts w:ascii="宋体" w:hAnsi="宋体" w:cs="宋体"/>
                <w:kern w:val="0"/>
                <w:szCs w:val="21"/>
              </w:rPr>
            </w:pPr>
            <w:r>
              <w:rPr>
                <w:rFonts w:ascii="宋体" w:hAnsi="宋体" w:cs="宋体" w:hint="eastAsia"/>
                <w:kern w:val="0"/>
                <w:szCs w:val="21"/>
              </w:rPr>
              <w:t>募集期结束，若市场发生重大变化，广州农商银行无法或者经其合理判断难以按照本理财产品说明书向投资者提供本理财产品；或者法律法规、监管规定、国家政策发生变化导致无法按照本理财产品说明书向投资者提供本理财产品的，广州农商银行有权宣布本理财产品不成立。</w:t>
            </w:r>
          </w:p>
          <w:p w14:paraId="0BC1F014" w14:textId="59E57809" w:rsidR="005948BD" w:rsidRPr="007801A1" w:rsidRDefault="00A519A6" w:rsidP="00A519A6">
            <w:pPr>
              <w:spacing w:line="300" w:lineRule="exact"/>
              <w:ind w:firstLineChars="200" w:firstLine="420"/>
              <w:rPr>
                <w:rFonts w:asciiTheme="minorEastAsia" w:eastAsiaTheme="minorEastAsia" w:hAnsiTheme="minorEastAsia" w:cs="宋体"/>
                <w:b/>
                <w:bCs/>
                <w:kern w:val="0"/>
                <w:szCs w:val="21"/>
              </w:rPr>
            </w:pPr>
            <w:r>
              <w:rPr>
                <w:rFonts w:ascii="宋体" w:hAnsi="宋体" w:cs="宋体" w:hint="eastAsia"/>
                <w:kern w:val="0"/>
                <w:szCs w:val="21"/>
              </w:rPr>
              <w:t>如理财产品不成立的，广州农商银行将于募集期结束后的第1个工作日通过官方网站或代销银行网点等渠道发布本理财产品不成立的公告，并于原定成立日后2个工作日内将已募集资金及自认购确认日至退回资金到账日期间的利息（按每日挂牌活期存款利率计算）一并退回投资者指定账户。</w:t>
            </w:r>
          </w:p>
        </w:tc>
      </w:tr>
      <w:tr w:rsidR="005948BD" w:rsidRPr="00A861AC" w14:paraId="76D1E97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BFB190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工作日</w:t>
            </w:r>
            <w:r w:rsidRPr="007801A1">
              <w:rPr>
                <w:rFonts w:asciiTheme="minorEastAsia" w:eastAsiaTheme="minorEastAsia" w:hAnsiTheme="minorEastAsia" w:cs="宋体"/>
                <w:kern w:val="0"/>
                <w:szCs w:val="21"/>
              </w:rPr>
              <w:t>/交易日</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AFAE939"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指上海证券交易所和深圳证券交易所的交易日，且同时为银行工作日。</w:t>
            </w:r>
          </w:p>
        </w:tc>
      </w:tr>
      <w:tr w:rsidR="005948BD" w:rsidRPr="00A861AC" w14:paraId="02CD0FB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F6C8E1"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首次开放日</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F855EBE" w14:textId="7E8A332A" w:rsidR="005948BD" w:rsidRPr="007801A1" w:rsidRDefault="005948BD" w:rsidP="005948BD">
            <w:pPr>
              <w:ind w:firstLine="0"/>
              <w:jc w:val="center"/>
              <w:textAlignment w:val="bottom"/>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2022年 </w:t>
            </w:r>
            <w:r w:rsidR="007801A1" w:rsidRPr="007801A1">
              <w:rPr>
                <w:rFonts w:asciiTheme="minorEastAsia" w:eastAsiaTheme="minorEastAsia" w:hAnsiTheme="minorEastAsia" w:cs="宋体"/>
                <w:kern w:val="0"/>
                <w:szCs w:val="21"/>
              </w:rPr>
              <w:t>1</w:t>
            </w:r>
            <w:r w:rsidRPr="007801A1">
              <w:rPr>
                <w:rFonts w:asciiTheme="minorEastAsia" w:eastAsiaTheme="minorEastAsia" w:hAnsiTheme="minorEastAsia" w:cs="宋体"/>
                <w:kern w:val="0"/>
                <w:szCs w:val="21"/>
              </w:rPr>
              <w:t>月</w:t>
            </w:r>
            <w:r w:rsidR="007801A1" w:rsidRPr="007801A1">
              <w:rPr>
                <w:rFonts w:asciiTheme="minorEastAsia" w:eastAsiaTheme="minorEastAsia" w:hAnsiTheme="minorEastAsia" w:cs="宋体"/>
                <w:kern w:val="0"/>
                <w:szCs w:val="21"/>
              </w:rPr>
              <w:t>5</w:t>
            </w:r>
            <w:r w:rsidRPr="007801A1">
              <w:rPr>
                <w:rFonts w:asciiTheme="minorEastAsia" w:eastAsiaTheme="minorEastAsia" w:hAnsiTheme="minorEastAsia" w:cs="宋体"/>
                <w:kern w:val="0"/>
                <w:szCs w:val="21"/>
              </w:rPr>
              <w:t>日</w:t>
            </w:r>
          </w:p>
          <w:p w14:paraId="2A90745E" w14:textId="77777777" w:rsidR="005948BD" w:rsidRPr="007801A1" w:rsidRDefault="005948BD" w:rsidP="005948BD">
            <w:pPr>
              <w:widowControl/>
              <w:spacing w:line="300" w:lineRule="exact"/>
              <w:ind w:firstLine="0"/>
              <w:jc w:val="center"/>
              <w:rPr>
                <w:rFonts w:asciiTheme="minorEastAsia" w:eastAsiaTheme="minorEastAsia" w:hAnsiTheme="minorEastAsia" w:cs="宋体"/>
                <w:kern w:val="0"/>
                <w:szCs w:val="21"/>
              </w:rPr>
            </w:pPr>
            <w:proofErr w:type="gramStart"/>
            <w:r w:rsidRPr="007801A1">
              <w:rPr>
                <w:rFonts w:asciiTheme="minorEastAsia" w:eastAsiaTheme="minorEastAsia" w:hAnsiTheme="minorEastAsia" w:cs="宋体" w:hint="eastAsia"/>
                <w:kern w:val="0"/>
                <w:szCs w:val="21"/>
              </w:rPr>
              <w:t>如遇非工作日</w:t>
            </w:r>
            <w:proofErr w:type="gramEnd"/>
            <w:r w:rsidRPr="007801A1">
              <w:rPr>
                <w:rFonts w:asciiTheme="minorEastAsia" w:eastAsiaTheme="minorEastAsia" w:hAnsiTheme="minorEastAsia" w:cs="宋体"/>
                <w:kern w:val="0"/>
                <w:szCs w:val="21"/>
              </w:rPr>
              <w:t>(双休日及节假日)则顺延至下一个工作日</w:t>
            </w:r>
          </w:p>
        </w:tc>
      </w:tr>
      <w:tr w:rsidR="005948BD" w:rsidRPr="00A861AC" w14:paraId="355582F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FE0C9F5"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开放日及开放时间</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DB073C1" w14:textId="63B175C1"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 xml:space="preserve">1. </w:t>
            </w:r>
            <w:r w:rsidRPr="007801A1">
              <w:rPr>
                <w:rFonts w:asciiTheme="minorEastAsia" w:eastAsiaTheme="minorEastAsia" w:hAnsiTheme="minorEastAsia" w:cs="宋体" w:hint="eastAsia"/>
                <w:b/>
                <w:kern w:val="0"/>
                <w:szCs w:val="21"/>
              </w:rPr>
              <w:t>每季度第一个月的5日（即每年的1/4/7/10月的5日，节假日顺延）</w:t>
            </w:r>
            <w:r w:rsidRPr="007801A1">
              <w:rPr>
                <w:rFonts w:asciiTheme="minorEastAsia" w:eastAsiaTheme="minorEastAsia" w:hAnsiTheme="minorEastAsia" w:cs="宋体" w:hint="eastAsia"/>
                <w:kern w:val="0"/>
                <w:szCs w:val="21"/>
              </w:rPr>
              <w:t xml:space="preserve">为理财产品申购（即约定购买，以下简称申购）、赎回（即约定赎回，以下简称赎回）的开放日。 </w:t>
            </w:r>
            <w:r w:rsidRPr="007801A1">
              <w:rPr>
                <w:rFonts w:asciiTheme="minorEastAsia" w:eastAsiaTheme="minorEastAsia" w:hAnsiTheme="minorEastAsia" w:cs="宋体" w:hint="eastAsia"/>
                <w:kern w:val="0"/>
                <w:szCs w:val="21"/>
              </w:rPr>
              <w:br/>
              <w:t xml:space="preserve">    2. 办理时间为开放日的9:00-</w:t>
            </w:r>
            <w:r w:rsidR="0077278F">
              <w:rPr>
                <w:rFonts w:asciiTheme="minorEastAsia" w:eastAsiaTheme="minorEastAsia" w:hAnsiTheme="minorEastAsia" w:cs="宋体"/>
                <w:kern w:val="0"/>
                <w:szCs w:val="21"/>
              </w:rPr>
              <w:t>1</w:t>
            </w:r>
            <w:r w:rsidRPr="007801A1">
              <w:rPr>
                <w:rFonts w:asciiTheme="minorEastAsia" w:eastAsiaTheme="minorEastAsia" w:hAnsiTheme="minorEastAsia" w:cs="宋体" w:hint="eastAsia"/>
                <w:kern w:val="0"/>
                <w:szCs w:val="21"/>
              </w:rPr>
              <w:t>7:00</w:t>
            </w:r>
            <w:r w:rsidR="00A519A6">
              <w:rPr>
                <w:rFonts w:ascii="宋体" w:hAnsi="宋体" w:cs="宋体" w:hint="eastAsia"/>
                <w:kern w:val="0"/>
                <w:szCs w:val="21"/>
              </w:rPr>
              <w:t>（</w:t>
            </w:r>
            <w:r w:rsidR="00A519A6">
              <w:rPr>
                <w:rFonts w:ascii="宋体" w:hAnsi="宋体" w:cs="宋体" w:hint="eastAsia"/>
                <w:b/>
                <w:kern w:val="0"/>
                <w:szCs w:val="21"/>
              </w:rPr>
              <w:t>该产品通过代理销售机构渠道销</w:t>
            </w:r>
            <w:r w:rsidR="00A519A6">
              <w:rPr>
                <w:rFonts w:ascii="宋体" w:hAnsi="宋体" w:cs="宋体" w:hint="eastAsia"/>
                <w:b/>
                <w:kern w:val="0"/>
                <w:szCs w:val="21"/>
              </w:rPr>
              <w:lastRenderedPageBreak/>
              <w:t>售的，开放时间应当以代理销售机构设置的开放时间为准</w:t>
            </w:r>
            <w:r w:rsidR="00A519A6">
              <w:rPr>
                <w:rFonts w:ascii="宋体" w:hAnsi="宋体" w:cs="宋体" w:hint="eastAsia"/>
                <w:kern w:val="0"/>
                <w:szCs w:val="21"/>
              </w:rPr>
              <w:t>）</w:t>
            </w:r>
            <w:r w:rsidRPr="007801A1">
              <w:rPr>
                <w:rFonts w:asciiTheme="minorEastAsia" w:eastAsiaTheme="minorEastAsia" w:hAnsiTheme="minorEastAsia" w:cs="宋体" w:hint="eastAsia"/>
                <w:kern w:val="0"/>
                <w:szCs w:val="21"/>
              </w:rPr>
              <w:t xml:space="preserve">。 </w:t>
            </w:r>
            <w:r w:rsidRPr="007801A1">
              <w:rPr>
                <w:rFonts w:asciiTheme="minorEastAsia" w:eastAsiaTheme="minorEastAsia" w:hAnsiTheme="minorEastAsia" w:cs="宋体" w:hint="eastAsia"/>
                <w:kern w:val="0"/>
                <w:szCs w:val="21"/>
              </w:rPr>
              <w:br/>
              <w:t xml:space="preserve">    3. 开放日</w:t>
            </w:r>
            <w:proofErr w:type="gramStart"/>
            <w:r w:rsidRPr="007801A1">
              <w:rPr>
                <w:rFonts w:asciiTheme="minorEastAsia" w:eastAsiaTheme="minorEastAsia" w:hAnsiTheme="minorEastAsia" w:cs="宋体" w:hint="eastAsia"/>
                <w:kern w:val="0"/>
                <w:szCs w:val="21"/>
              </w:rPr>
              <w:t>如遇非工作日</w:t>
            </w:r>
            <w:proofErr w:type="gramEnd"/>
            <w:r w:rsidRPr="007801A1">
              <w:rPr>
                <w:rFonts w:asciiTheme="minorEastAsia" w:eastAsiaTheme="minorEastAsia" w:hAnsiTheme="minorEastAsia" w:cs="宋体" w:hint="eastAsia"/>
                <w:kern w:val="0"/>
                <w:szCs w:val="21"/>
              </w:rPr>
              <w:t>(双休日及节假日)则顺延至下一个工作日。银行有权在特殊情形下调整按上述规则确定的开放日，银行将在调整之前进行公告。</w:t>
            </w:r>
            <w:r w:rsidRPr="007801A1">
              <w:rPr>
                <w:rFonts w:asciiTheme="minorEastAsia" w:eastAsiaTheme="minorEastAsia" w:hAnsiTheme="minorEastAsia" w:cs="宋体" w:hint="eastAsia"/>
                <w:kern w:val="0"/>
                <w:szCs w:val="21"/>
              </w:rPr>
              <w:br/>
              <w:t xml:space="preserve">    4. 在销售机构系统支持的情况下，接受客户进行销售机构系统规则内的预约申购、赎回操作。</w:t>
            </w:r>
            <w:r w:rsidR="00D65570">
              <w:rPr>
                <w:rFonts w:asciiTheme="minorEastAsia" w:eastAsiaTheme="minorEastAsia" w:hAnsiTheme="minorEastAsia" w:cs="宋体" w:hint="eastAsia"/>
                <w:kern w:val="0"/>
                <w:szCs w:val="21"/>
              </w:rPr>
              <w:t xml:space="preserve"> </w:t>
            </w:r>
          </w:p>
        </w:tc>
      </w:tr>
      <w:tr w:rsidR="005948BD" w:rsidRPr="00A861AC" w14:paraId="1D6DF16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C8EEF84"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申购、赎回方式</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28758FF"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开放日的开放时间内接受申购、赎回申请</w:t>
            </w:r>
          </w:p>
        </w:tc>
      </w:tr>
      <w:tr w:rsidR="005948BD" w:rsidRPr="00A861AC" w14:paraId="2022AF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D2A9D4"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申购确认</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5C9F758" w14:textId="77777777"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 T日购买，T+1日确认，T+1日扣款。确认扣款</w:t>
            </w:r>
            <w:proofErr w:type="gramStart"/>
            <w:r w:rsidRPr="007801A1">
              <w:rPr>
                <w:rFonts w:asciiTheme="minorEastAsia" w:eastAsiaTheme="minorEastAsia" w:hAnsiTheme="minorEastAsia" w:cs="宋体" w:hint="eastAsia"/>
                <w:kern w:val="0"/>
                <w:szCs w:val="21"/>
              </w:rPr>
              <w:t>日若遇非</w:t>
            </w:r>
            <w:proofErr w:type="gramEnd"/>
            <w:r w:rsidRPr="007801A1">
              <w:rPr>
                <w:rFonts w:asciiTheme="minorEastAsia" w:eastAsiaTheme="minorEastAsia" w:hAnsiTheme="minorEastAsia" w:cs="宋体" w:hint="eastAsia"/>
                <w:kern w:val="0"/>
                <w:szCs w:val="21"/>
              </w:rPr>
              <w:t>工作日</w:t>
            </w:r>
            <w:r w:rsidRPr="007801A1">
              <w:rPr>
                <w:rFonts w:asciiTheme="minorEastAsia" w:eastAsiaTheme="minorEastAsia" w:hAnsiTheme="minorEastAsia" w:cs="宋体"/>
                <w:kern w:val="0"/>
                <w:szCs w:val="21"/>
              </w:rPr>
              <w:t xml:space="preserve">(双休日及节假日)顺延至下一工作日。 T日为开放日。 </w:t>
            </w:r>
            <w:r w:rsidRPr="007801A1">
              <w:rPr>
                <w:rFonts w:asciiTheme="minorEastAsia" w:eastAsiaTheme="minorEastAsia" w:hAnsiTheme="minorEastAsia" w:cs="宋体"/>
                <w:kern w:val="0"/>
                <w:szCs w:val="21"/>
              </w:rPr>
              <w:br/>
              <w:t xml:space="preserve">    2. 以T日的日终份额净值进行确认，按照“金额申购”的原则计算申购份额。</w:t>
            </w:r>
          </w:p>
        </w:tc>
      </w:tr>
      <w:tr w:rsidR="005948BD" w:rsidRPr="00A861AC" w14:paraId="6FC212F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DC02F14"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w:t>
            </w:r>
            <w:r w:rsidRPr="007801A1">
              <w:rPr>
                <w:rFonts w:asciiTheme="minorEastAsia" w:eastAsiaTheme="minorEastAsia" w:hAnsiTheme="minorEastAsia" w:cs="宋体"/>
                <w:kern w:val="0"/>
                <w:szCs w:val="21"/>
              </w:rPr>
              <w:t xml:space="preserve">/申购费/赎回费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0DB1505"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0%</w:t>
            </w:r>
          </w:p>
        </w:tc>
      </w:tr>
      <w:tr w:rsidR="005948BD" w:rsidRPr="00A861AC" w14:paraId="2900418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35D954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托管费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8337445"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 0.02%（年）</w:t>
            </w:r>
          </w:p>
        </w:tc>
      </w:tr>
      <w:tr w:rsidR="005948BD" w:rsidRPr="00A861AC" w14:paraId="6A86FF9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9DD9B74"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销售手续费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5A15D5A"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0.30%（年）</w:t>
            </w:r>
          </w:p>
        </w:tc>
      </w:tr>
      <w:tr w:rsidR="005948BD" w:rsidRPr="00A861AC" w14:paraId="68616AE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091388"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固定管理费</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F3F3F04" w14:textId="60C7A59E" w:rsidR="005948BD" w:rsidRPr="007801A1" w:rsidRDefault="005948BD" w:rsidP="00A10CB1">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 0.</w:t>
            </w:r>
            <w:r w:rsidR="00A10CB1">
              <w:rPr>
                <w:rFonts w:asciiTheme="minorEastAsia" w:eastAsiaTheme="minorEastAsia" w:hAnsiTheme="minorEastAsia" w:cs="宋体"/>
                <w:kern w:val="0"/>
                <w:szCs w:val="21"/>
              </w:rPr>
              <w:t>1</w:t>
            </w:r>
            <w:r w:rsidRPr="007801A1">
              <w:rPr>
                <w:rFonts w:asciiTheme="minorEastAsia" w:eastAsiaTheme="minorEastAsia" w:hAnsiTheme="minorEastAsia" w:cs="宋体"/>
                <w:kern w:val="0"/>
                <w:szCs w:val="21"/>
              </w:rPr>
              <w:t>%（年）</w:t>
            </w:r>
          </w:p>
        </w:tc>
      </w:tr>
      <w:tr w:rsidR="005948BD" w:rsidRPr="00A861AC" w14:paraId="76D67EC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C4EC98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估值核算费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75952C6E"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0%（年）</w:t>
            </w:r>
          </w:p>
        </w:tc>
      </w:tr>
      <w:tr w:rsidR="005948BD" w:rsidRPr="00A861AC" w14:paraId="0C620C3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C9A9A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浮动管理费</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1F636ED" w14:textId="54335ACB" w:rsidR="00E475F7" w:rsidRDefault="00E475F7" w:rsidP="00E475F7">
            <w:pPr>
              <w:widowControl/>
              <w:spacing w:line="326" w:lineRule="atLeast"/>
              <w:ind w:firstLine="142"/>
              <w:rPr>
                <w:rFonts w:ascii="宋体" w:hAnsi="宋体" w:cs="宋体"/>
                <w:kern w:val="0"/>
                <w:szCs w:val="21"/>
              </w:rPr>
            </w:pPr>
            <w:r>
              <w:rPr>
                <w:rFonts w:ascii="宋体" w:hAnsi="宋体" w:cs="宋体"/>
                <w:kern w:val="0"/>
                <w:szCs w:val="21"/>
              </w:rPr>
              <w:t xml:space="preserve">  </w:t>
            </w:r>
            <w:r>
              <w:rPr>
                <w:rFonts w:ascii="宋体" w:hAnsi="宋体" w:cs="宋体" w:hint="eastAsia"/>
                <w:kern w:val="0"/>
                <w:szCs w:val="21"/>
              </w:rPr>
              <w:t>1.广州农商银行有权收取浮动管理费。</w:t>
            </w:r>
          </w:p>
          <w:p w14:paraId="1DA5EF5A" w14:textId="77777777" w:rsidR="00E475F7" w:rsidRDefault="00E475F7" w:rsidP="00E475F7">
            <w:pPr>
              <w:widowControl/>
              <w:spacing w:line="326" w:lineRule="atLeast"/>
              <w:ind w:firstLine="142"/>
              <w:rPr>
                <w:rFonts w:ascii="宋体" w:hAnsi="宋体" w:cs="宋体"/>
                <w:kern w:val="0"/>
                <w:szCs w:val="21"/>
              </w:rPr>
            </w:pPr>
            <w:r>
              <w:rPr>
                <w:rFonts w:ascii="宋体" w:hAnsi="宋体" w:cs="宋体" w:hint="eastAsia"/>
                <w:kern w:val="0"/>
                <w:szCs w:val="21"/>
              </w:rPr>
              <w:t xml:space="preserve">  2.当</w:t>
            </w:r>
            <w:proofErr w:type="gramStart"/>
            <w:r>
              <w:rPr>
                <w:rFonts w:ascii="宋体" w:hAnsi="宋体" w:cs="宋体" w:hint="eastAsia"/>
                <w:kern w:val="0"/>
                <w:szCs w:val="21"/>
              </w:rPr>
              <w:t>周期年化收益率</w:t>
            </w:r>
            <w:proofErr w:type="gramEnd"/>
            <w:r>
              <w:rPr>
                <w:rFonts w:ascii="宋体" w:hAnsi="宋体" w:cs="宋体" w:hint="eastAsia"/>
                <w:kern w:val="0"/>
                <w:szCs w:val="21"/>
              </w:rPr>
              <w:t>超过同类产品参考业绩比较基准上限时，管理人将有权收取浮动管理费。</w:t>
            </w:r>
          </w:p>
          <w:p w14:paraId="01DC0D97" w14:textId="77777777" w:rsidR="00E475F7" w:rsidRDefault="00E475F7" w:rsidP="00E475F7">
            <w:pPr>
              <w:widowControl/>
              <w:spacing w:line="326" w:lineRule="atLeast"/>
              <w:ind w:firstLineChars="200" w:firstLine="420"/>
              <w:rPr>
                <w:rFonts w:ascii="宋体" w:hAnsi="宋体" w:cs="宋体"/>
                <w:kern w:val="0"/>
                <w:szCs w:val="21"/>
              </w:rPr>
            </w:pPr>
            <w:r>
              <w:rPr>
                <w:rFonts w:ascii="宋体" w:hAnsi="宋体" w:cs="宋体" w:hint="eastAsia"/>
                <w:kern w:val="0"/>
                <w:szCs w:val="21"/>
              </w:rPr>
              <w:t>3.产品存续期内理财产品将</w:t>
            </w:r>
            <w:proofErr w:type="gramStart"/>
            <w:r>
              <w:rPr>
                <w:rFonts w:ascii="宋体" w:hAnsi="宋体" w:cs="宋体" w:hint="eastAsia"/>
                <w:kern w:val="0"/>
                <w:szCs w:val="21"/>
              </w:rPr>
              <w:t>每日暂估浮动</w:t>
            </w:r>
            <w:proofErr w:type="gramEnd"/>
            <w:r>
              <w:rPr>
                <w:rFonts w:ascii="宋体" w:hAnsi="宋体" w:cs="宋体" w:hint="eastAsia"/>
                <w:kern w:val="0"/>
                <w:szCs w:val="21"/>
              </w:rPr>
              <w:t>管理费，仅用于理财产品会计核算，并将扣除“暂估浮动管理费”后的理财产品份额净值按照说明书约定向投资者进行披露。理财产品实际的浮动管理费以开放日计提数额为准。</w:t>
            </w:r>
          </w:p>
          <w:p w14:paraId="25C8333A" w14:textId="72020EAD" w:rsidR="005948BD" w:rsidRPr="007801A1" w:rsidRDefault="00E475F7" w:rsidP="00E475F7">
            <w:pPr>
              <w:widowControl/>
              <w:spacing w:line="326" w:lineRule="atLeast"/>
              <w:ind w:firstLineChars="200" w:firstLine="420"/>
              <w:rPr>
                <w:rFonts w:asciiTheme="minorEastAsia" w:eastAsiaTheme="minorEastAsia" w:hAnsiTheme="minorEastAsia" w:cs="宋体"/>
                <w:kern w:val="0"/>
                <w:szCs w:val="21"/>
              </w:rPr>
            </w:pPr>
            <w:r>
              <w:rPr>
                <w:rFonts w:ascii="宋体" w:hAnsi="宋体" w:cs="宋体" w:hint="eastAsia"/>
                <w:kern w:val="0"/>
                <w:szCs w:val="21"/>
              </w:rPr>
              <w:t>4.详见产品费用说明。</w:t>
            </w:r>
          </w:p>
        </w:tc>
      </w:tr>
      <w:tr w:rsidR="005948BD" w:rsidRPr="00A861AC" w14:paraId="6678CDBD"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87B7326"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认购、申购起点金额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2FD3220"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1万元起购，以1万元的整数</w:t>
            </w:r>
            <w:proofErr w:type="gramStart"/>
            <w:r w:rsidRPr="007801A1">
              <w:rPr>
                <w:rFonts w:asciiTheme="minorEastAsia" w:eastAsiaTheme="minorEastAsia" w:hAnsiTheme="minorEastAsia" w:cs="宋体" w:hint="eastAsia"/>
                <w:kern w:val="0"/>
                <w:szCs w:val="21"/>
              </w:rPr>
              <w:t>倍</w:t>
            </w:r>
            <w:proofErr w:type="gramEnd"/>
            <w:r w:rsidRPr="007801A1">
              <w:rPr>
                <w:rFonts w:asciiTheme="minorEastAsia" w:eastAsiaTheme="minorEastAsia" w:hAnsiTheme="minorEastAsia" w:cs="宋体" w:hint="eastAsia"/>
                <w:kern w:val="0"/>
                <w:szCs w:val="21"/>
              </w:rPr>
              <w:t>递增。</w:t>
            </w:r>
          </w:p>
        </w:tc>
      </w:tr>
      <w:tr w:rsidR="005948BD" w:rsidRPr="00A861AC" w14:paraId="7FD80C42"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79BCE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追加购买最低金额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04FC8D3"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1万元，以1万元的整数</w:t>
            </w:r>
            <w:proofErr w:type="gramStart"/>
            <w:r w:rsidRPr="007801A1">
              <w:rPr>
                <w:rFonts w:asciiTheme="minorEastAsia" w:eastAsiaTheme="minorEastAsia" w:hAnsiTheme="minorEastAsia" w:cs="宋体" w:hint="eastAsia"/>
                <w:kern w:val="0"/>
                <w:szCs w:val="21"/>
              </w:rPr>
              <w:t>倍</w:t>
            </w:r>
            <w:proofErr w:type="gramEnd"/>
            <w:r w:rsidRPr="007801A1">
              <w:rPr>
                <w:rFonts w:asciiTheme="minorEastAsia" w:eastAsiaTheme="minorEastAsia" w:hAnsiTheme="minorEastAsia" w:cs="宋体" w:hint="eastAsia"/>
                <w:kern w:val="0"/>
                <w:szCs w:val="21"/>
              </w:rPr>
              <w:t>追加</w:t>
            </w:r>
          </w:p>
        </w:tc>
      </w:tr>
      <w:tr w:rsidR="005948BD" w:rsidRPr="00A861AC" w14:paraId="6425B75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E5B365E"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单笔赎回最低份额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416753"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1万份，以1万份的整数</w:t>
            </w:r>
            <w:proofErr w:type="gramStart"/>
            <w:r w:rsidRPr="007801A1">
              <w:rPr>
                <w:rFonts w:asciiTheme="minorEastAsia" w:eastAsiaTheme="minorEastAsia" w:hAnsiTheme="minorEastAsia" w:cs="宋体" w:hint="eastAsia"/>
                <w:kern w:val="0"/>
                <w:szCs w:val="21"/>
              </w:rPr>
              <w:t>倍</w:t>
            </w:r>
            <w:proofErr w:type="gramEnd"/>
            <w:r w:rsidRPr="007801A1">
              <w:rPr>
                <w:rFonts w:asciiTheme="minorEastAsia" w:eastAsiaTheme="minorEastAsia" w:hAnsiTheme="minorEastAsia" w:cs="宋体" w:hint="eastAsia"/>
                <w:kern w:val="0"/>
                <w:szCs w:val="21"/>
              </w:rPr>
              <w:t>追加</w:t>
            </w:r>
          </w:p>
        </w:tc>
      </w:tr>
      <w:tr w:rsidR="005948BD" w:rsidRPr="00A861AC" w14:paraId="3BE7EAD9"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F661F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理财账户最低保留份额</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81800EA" w14:textId="77777777" w:rsidR="005948BD" w:rsidRPr="007801A1" w:rsidRDefault="005948BD" w:rsidP="005948BD">
            <w:pPr>
              <w:widowControl/>
              <w:spacing w:before="100" w:beforeAutospacing="1" w:after="100" w:afterAutospacing="1" w:line="326" w:lineRule="atLeas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1万份</w:t>
            </w:r>
          </w:p>
        </w:tc>
      </w:tr>
      <w:tr w:rsidR="005948BD" w:rsidRPr="00A861AC" w14:paraId="6E0959D6"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B295881"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单一投资者持有份额比例限制</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0C352642" w14:textId="7756D2A8"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    </w:t>
            </w:r>
            <w:r w:rsidRPr="007801A1">
              <w:rPr>
                <w:rFonts w:asciiTheme="minorEastAsia" w:eastAsiaTheme="minorEastAsia" w:hAnsiTheme="minorEastAsia" w:cs="宋体" w:hint="eastAsia"/>
                <w:kern w:val="0"/>
                <w:szCs w:val="21"/>
              </w:rPr>
              <w:t>单一投资者持有份额不超过产品总份额</w:t>
            </w:r>
            <w:r w:rsidRPr="007801A1">
              <w:rPr>
                <w:rFonts w:asciiTheme="minorEastAsia" w:eastAsiaTheme="minorEastAsia" w:hAnsiTheme="minorEastAsia" w:cs="宋体"/>
                <w:kern w:val="0"/>
                <w:szCs w:val="21"/>
              </w:rPr>
              <w:t>50%</w:t>
            </w:r>
          </w:p>
        </w:tc>
      </w:tr>
      <w:tr w:rsidR="005948BD" w:rsidRPr="00A861AC" w14:paraId="63092761"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7C858DB"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C05BBF9" w14:textId="77777777"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份额净值为提取相关费用后的单位理财产品份额净值，投资者按该份额净值进行申购、赎回和终止时的分配。份额净值的计算保留到小数点后</w:t>
            </w:r>
            <w:r w:rsidRPr="007801A1">
              <w:rPr>
                <w:rFonts w:asciiTheme="minorEastAsia" w:eastAsiaTheme="minorEastAsia" w:hAnsiTheme="minorEastAsia" w:cs="宋体"/>
                <w:kern w:val="0"/>
                <w:szCs w:val="21"/>
              </w:rPr>
              <w:t xml:space="preserve">4位，小数点后第5位舍去。 </w:t>
            </w:r>
          </w:p>
        </w:tc>
      </w:tr>
      <w:tr w:rsidR="005948BD" w:rsidRPr="00A861AC" w14:paraId="36CD0048"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38B1F7"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认购份额</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71048FE" w14:textId="77777777"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认购份额</w:t>
            </w:r>
            <w:r w:rsidRPr="007801A1">
              <w:rPr>
                <w:rFonts w:asciiTheme="minorEastAsia" w:eastAsiaTheme="minorEastAsia" w:hAnsiTheme="minorEastAsia" w:cs="宋体"/>
                <w:kern w:val="0"/>
                <w:szCs w:val="21"/>
              </w:rPr>
              <w:t xml:space="preserve">=认购金额/1元，认购份额数保留到小数点后2位，小数点后第三位舍去。 </w:t>
            </w:r>
          </w:p>
        </w:tc>
      </w:tr>
      <w:tr w:rsidR="005948BD" w:rsidRPr="00A861AC" w14:paraId="40A4696C" w14:textId="77777777" w:rsidTr="00156B89">
        <w:trPr>
          <w:trHeight w:val="709"/>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19092FC"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申购份额</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263BCAA" w14:textId="77777777" w:rsidR="005948BD" w:rsidRPr="007801A1" w:rsidRDefault="005948BD" w:rsidP="005948BD">
            <w:pPr>
              <w:spacing w:line="300" w:lineRule="exact"/>
              <w:ind w:firstLine="0"/>
              <w:jc w:val="center"/>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申购确认份额＝申购金额</w:t>
            </w:r>
            <w:r w:rsidRPr="007801A1">
              <w:rPr>
                <w:rFonts w:asciiTheme="minorEastAsia" w:eastAsiaTheme="minorEastAsia" w:hAnsiTheme="minorEastAsia" w:cs="宋体"/>
                <w:kern w:val="0"/>
                <w:szCs w:val="21"/>
              </w:rPr>
              <w:t>/申购确认日上一工作日净值（已扣除相关费用）</w:t>
            </w:r>
          </w:p>
          <w:p w14:paraId="5749ADFB" w14:textId="77777777" w:rsidR="005948BD" w:rsidRPr="007801A1" w:rsidRDefault="005948BD" w:rsidP="005948BD">
            <w:pPr>
              <w:spacing w:line="300" w:lineRule="exact"/>
              <w:ind w:firstLine="0"/>
              <w:jc w:val="center"/>
              <w:rPr>
                <w:rFonts w:asciiTheme="minorEastAsia" w:eastAsiaTheme="minorEastAsia" w:hAnsiTheme="minorEastAsia" w:cs="宋体"/>
                <w:kern w:val="0"/>
                <w:szCs w:val="21"/>
              </w:rPr>
            </w:pPr>
            <w:proofErr w:type="gramStart"/>
            <w:r w:rsidRPr="007801A1">
              <w:rPr>
                <w:rFonts w:asciiTheme="minorEastAsia" w:eastAsiaTheme="minorEastAsia" w:hAnsiTheme="minorEastAsia" w:cs="宋体" w:hint="eastAsia"/>
                <w:kern w:val="0"/>
                <w:szCs w:val="21"/>
              </w:rPr>
              <w:t>若遇非工作日</w:t>
            </w:r>
            <w:proofErr w:type="gramEnd"/>
            <w:r w:rsidRPr="007801A1">
              <w:rPr>
                <w:rFonts w:asciiTheme="minorEastAsia" w:eastAsiaTheme="minorEastAsia" w:hAnsiTheme="minorEastAsia" w:cs="宋体"/>
                <w:kern w:val="0"/>
                <w:szCs w:val="21"/>
              </w:rPr>
              <w:t>(双休日及节假日)顺延至下一工作日</w:t>
            </w:r>
          </w:p>
        </w:tc>
      </w:tr>
      <w:tr w:rsidR="005948BD" w:rsidRPr="00A861AC" w14:paraId="5D693FAF"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E6D3C02"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赎回规定</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FA40885" w14:textId="77777777" w:rsidR="005948BD" w:rsidRPr="007801A1" w:rsidRDefault="005948BD" w:rsidP="005948BD">
            <w:pPr>
              <w:spacing w:line="300" w:lineRule="exact"/>
              <w:ind w:leftChars="172" w:left="361" w:firstLine="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1. </w:t>
            </w:r>
            <w:r w:rsidRPr="007801A1">
              <w:rPr>
                <w:rFonts w:asciiTheme="minorEastAsia" w:eastAsiaTheme="minorEastAsia" w:hAnsiTheme="minorEastAsia" w:cs="宋体" w:hint="eastAsia"/>
                <w:kern w:val="0"/>
                <w:szCs w:val="21"/>
              </w:rPr>
              <w:t>本理财产品采取子周期到期份额自动赎回的方式，子周期到期后客户所持有的该周期的所有产品份额自动赎回后在确认日兑付客户。</w:t>
            </w:r>
          </w:p>
          <w:p w14:paraId="12E7B075" w14:textId="77777777" w:rsidR="005948BD" w:rsidRPr="007801A1" w:rsidRDefault="005948BD" w:rsidP="005948BD">
            <w:pPr>
              <w:spacing w:line="300" w:lineRule="exact"/>
              <w:ind w:leftChars="172" w:left="361" w:firstLine="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lastRenderedPageBreak/>
              <w:t xml:space="preserve">2. </w:t>
            </w:r>
            <w:r w:rsidRPr="007801A1">
              <w:rPr>
                <w:rFonts w:asciiTheme="minorEastAsia" w:eastAsiaTheme="minorEastAsia" w:hAnsiTheme="minorEastAsia" w:cs="宋体" w:hint="eastAsia"/>
                <w:kern w:val="0"/>
                <w:szCs w:val="21"/>
              </w:rPr>
              <w:t>赎回资金不晚于到期日后的</w:t>
            </w:r>
            <w:r w:rsidRPr="007801A1">
              <w:rPr>
                <w:rFonts w:asciiTheme="minorEastAsia" w:eastAsiaTheme="minorEastAsia" w:hAnsiTheme="minorEastAsia" w:cs="宋体"/>
                <w:kern w:val="0"/>
                <w:szCs w:val="21"/>
              </w:rPr>
              <w:t>5个工作日内到账。到账</w:t>
            </w:r>
            <w:proofErr w:type="gramStart"/>
            <w:r w:rsidRPr="007801A1">
              <w:rPr>
                <w:rFonts w:asciiTheme="minorEastAsia" w:eastAsiaTheme="minorEastAsia" w:hAnsiTheme="minorEastAsia" w:cs="宋体" w:hint="eastAsia"/>
                <w:kern w:val="0"/>
                <w:szCs w:val="21"/>
              </w:rPr>
              <w:t>日若遇非</w:t>
            </w:r>
            <w:proofErr w:type="gramEnd"/>
            <w:r w:rsidRPr="007801A1">
              <w:rPr>
                <w:rFonts w:asciiTheme="minorEastAsia" w:eastAsiaTheme="minorEastAsia" w:hAnsiTheme="minorEastAsia" w:cs="宋体" w:hint="eastAsia"/>
                <w:kern w:val="0"/>
                <w:szCs w:val="21"/>
              </w:rPr>
              <w:t>工作日顺延至下一工作日。</w:t>
            </w:r>
          </w:p>
        </w:tc>
      </w:tr>
      <w:tr w:rsidR="005948BD" w:rsidRPr="00A861AC" w14:paraId="3ADE94D5"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9BD0BD8"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赎回金额的计算</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47C2D31" w14:textId="77777777"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赎回确认金额＝赎回份额×赎回确认日上一工作日净值（已扣除相关费用），保留到小数点后</w:t>
            </w:r>
            <w:r w:rsidRPr="007801A1">
              <w:rPr>
                <w:rFonts w:asciiTheme="minorEastAsia" w:eastAsiaTheme="minorEastAsia" w:hAnsiTheme="minorEastAsia" w:cs="宋体"/>
                <w:kern w:val="0"/>
                <w:szCs w:val="21"/>
              </w:rPr>
              <w:t>2位，小数点后第三位舍去。</w:t>
            </w:r>
          </w:p>
        </w:tc>
      </w:tr>
      <w:tr w:rsidR="005948BD" w:rsidRPr="00A861AC" w14:paraId="566DE744"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0075AA"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撤销规定</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14AEBCC6" w14:textId="77777777" w:rsidR="005948BD" w:rsidRPr="007801A1" w:rsidRDefault="005948BD" w:rsidP="005948BD">
            <w:pPr>
              <w:spacing w:line="300" w:lineRule="exact"/>
              <w:ind w:leftChars="172" w:left="361" w:firstLine="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1. 募集期认购撤销 </w:t>
            </w:r>
          </w:p>
          <w:p w14:paraId="0E8CAC62" w14:textId="194E631C" w:rsidR="005948BD" w:rsidRPr="007801A1" w:rsidRDefault="005948BD" w:rsidP="005948BD">
            <w:pPr>
              <w:spacing w:line="300" w:lineRule="exac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产品募集期间，投资者可对已提交的认购申请进行撤销，具体规定如下：</w:t>
            </w:r>
            <w:r w:rsidRPr="007801A1">
              <w:rPr>
                <w:rFonts w:asciiTheme="minorEastAsia" w:eastAsiaTheme="minorEastAsia" w:hAnsiTheme="minorEastAsia" w:cs="宋体"/>
                <w:kern w:val="0"/>
                <w:szCs w:val="21"/>
              </w:rPr>
              <w:t xml:space="preserve"> </w:t>
            </w:r>
            <w:r w:rsidRPr="007801A1">
              <w:rPr>
                <w:rFonts w:asciiTheme="minorEastAsia" w:eastAsiaTheme="minorEastAsia" w:hAnsiTheme="minorEastAsia" w:cs="宋体"/>
                <w:kern w:val="0"/>
                <w:szCs w:val="21"/>
              </w:rPr>
              <w:br/>
              <w:t xml:space="preserve">    (1)只能全额撤销。 </w:t>
            </w:r>
            <w:r w:rsidRPr="007801A1">
              <w:rPr>
                <w:rFonts w:asciiTheme="minorEastAsia" w:eastAsiaTheme="minorEastAsia" w:hAnsiTheme="minorEastAsia" w:cs="宋体"/>
                <w:kern w:val="0"/>
                <w:szCs w:val="21"/>
              </w:rPr>
              <w:br/>
              <w:t xml:space="preserve">    (2)募集期最后一日17:00</w:t>
            </w:r>
            <w:r w:rsidRPr="007801A1">
              <w:rPr>
                <w:rFonts w:asciiTheme="minorEastAsia" w:eastAsiaTheme="minorEastAsia" w:hAnsiTheme="minorEastAsia" w:cs="宋体" w:hint="eastAsia"/>
                <w:kern w:val="0"/>
                <w:szCs w:val="21"/>
              </w:rPr>
              <w:t>（</w:t>
            </w:r>
            <w:r w:rsidRPr="007801A1">
              <w:rPr>
                <w:rFonts w:asciiTheme="minorEastAsia" w:eastAsiaTheme="minorEastAsia" w:hAnsiTheme="minorEastAsia" w:cs="宋体" w:hint="eastAsia"/>
                <w:b/>
                <w:kern w:val="0"/>
                <w:szCs w:val="21"/>
              </w:rPr>
              <w:t>该产品通过代理销售机构渠道销售的，开放时间应当以代理销售机构设置的开放时间为准</w:t>
            </w:r>
            <w:r w:rsidRPr="007801A1">
              <w:rPr>
                <w:rFonts w:asciiTheme="minorEastAsia" w:eastAsiaTheme="minorEastAsia" w:hAnsiTheme="minorEastAsia" w:cs="宋体" w:hint="eastAsia"/>
                <w:kern w:val="0"/>
                <w:szCs w:val="21"/>
              </w:rPr>
              <w:t>）之后不能进行撤销。</w:t>
            </w:r>
            <w:r w:rsidRPr="007801A1">
              <w:rPr>
                <w:rFonts w:asciiTheme="minorEastAsia" w:eastAsiaTheme="minorEastAsia" w:hAnsiTheme="minorEastAsia" w:cs="宋体"/>
                <w:kern w:val="0"/>
                <w:szCs w:val="21"/>
              </w:rPr>
              <w:t xml:space="preserve"> </w:t>
            </w:r>
          </w:p>
          <w:p w14:paraId="45BDE4C6" w14:textId="77777777" w:rsidR="005948BD" w:rsidRPr="007801A1" w:rsidRDefault="005948BD" w:rsidP="005948BD">
            <w:pPr>
              <w:spacing w:line="300" w:lineRule="exact"/>
              <w:ind w:leftChars="172" w:left="361" w:firstLine="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2. 开放日申购、赎回撤销 </w:t>
            </w:r>
            <w:r w:rsidRPr="007801A1">
              <w:rPr>
                <w:rFonts w:asciiTheme="minorEastAsia" w:eastAsiaTheme="minorEastAsia" w:hAnsiTheme="minorEastAsia" w:cs="宋体"/>
                <w:kern w:val="0"/>
                <w:szCs w:val="21"/>
              </w:rPr>
              <w:br/>
            </w:r>
            <w:r w:rsidRPr="007801A1">
              <w:rPr>
                <w:rFonts w:asciiTheme="minorEastAsia" w:eastAsiaTheme="minorEastAsia" w:hAnsiTheme="minorEastAsia" w:cs="宋体" w:hint="eastAsia"/>
                <w:kern w:val="0"/>
                <w:szCs w:val="21"/>
              </w:rPr>
              <w:t>产品开放期间，投资者可对已提交的申购、赎回申请进行撤销，具体规定如下：</w:t>
            </w:r>
            <w:r w:rsidRPr="007801A1">
              <w:rPr>
                <w:rFonts w:asciiTheme="minorEastAsia" w:eastAsiaTheme="minorEastAsia" w:hAnsiTheme="minorEastAsia" w:cs="宋体"/>
                <w:kern w:val="0"/>
                <w:szCs w:val="21"/>
              </w:rPr>
              <w:t xml:space="preserve"> </w:t>
            </w:r>
            <w:r w:rsidRPr="007801A1">
              <w:rPr>
                <w:rFonts w:asciiTheme="minorEastAsia" w:eastAsiaTheme="minorEastAsia" w:hAnsiTheme="minorEastAsia" w:cs="宋体"/>
                <w:kern w:val="0"/>
                <w:szCs w:val="21"/>
              </w:rPr>
              <w:br/>
              <w:t xml:space="preserve"> (1)只能全额撤销。 </w:t>
            </w:r>
          </w:p>
          <w:p w14:paraId="20FE4A1C" w14:textId="07EB6D81" w:rsidR="005948BD" w:rsidRPr="007801A1" w:rsidRDefault="005948BD" w:rsidP="005948BD">
            <w:pPr>
              <w:spacing w:line="300" w:lineRule="exact"/>
              <w:ind w:leftChars="172" w:left="361" w:firstLine="0"/>
              <w:rPr>
                <w:rFonts w:asciiTheme="minorEastAsia" w:eastAsiaTheme="minorEastAsia" w:hAnsiTheme="minorEastAsia" w:cs="宋体"/>
                <w:b/>
                <w:bCs/>
                <w:kern w:val="0"/>
                <w:szCs w:val="21"/>
              </w:rPr>
            </w:pPr>
            <w:r w:rsidRPr="007801A1">
              <w:rPr>
                <w:rFonts w:asciiTheme="minorEastAsia" w:eastAsiaTheme="minorEastAsia" w:hAnsiTheme="minorEastAsia" w:cs="宋体"/>
                <w:kern w:val="0"/>
                <w:szCs w:val="21"/>
              </w:rPr>
              <w:t xml:space="preserve"> (2)开放日T日17:00（含）之后不能进行撤销</w:t>
            </w:r>
            <w:r w:rsidRPr="007801A1">
              <w:rPr>
                <w:rFonts w:asciiTheme="minorEastAsia" w:eastAsiaTheme="minorEastAsia" w:hAnsiTheme="minorEastAsia" w:cs="宋体" w:hint="eastAsia"/>
                <w:kern w:val="0"/>
                <w:szCs w:val="21"/>
              </w:rPr>
              <w:t>（</w:t>
            </w:r>
            <w:r w:rsidRPr="007801A1">
              <w:rPr>
                <w:rFonts w:asciiTheme="minorEastAsia" w:eastAsiaTheme="minorEastAsia" w:hAnsiTheme="minorEastAsia" w:cs="宋体" w:hint="eastAsia"/>
                <w:b/>
                <w:kern w:val="0"/>
                <w:szCs w:val="21"/>
              </w:rPr>
              <w:t>该产品通过代理销售机构渠道销售的，开放时间应当以代理销售机构设置的开放时间为准</w:t>
            </w:r>
            <w:r w:rsidRPr="007801A1">
              <w:rPr>
                <w:rFonts w:asciiTheme="minorEastAsia" w:eastAsiaTheme="minorEastAsia" w:hAnsiTheme="minorEastAsia" w:cs="宋体" w:hint="eastAsia"/>
                <w:kern w:val="0"/>
                <w:szCs w:val="21"/>
              </w:rPr>
              <w:t>）。</w:t>
            </w:r>
          </w:p>
        </w:tc>
      </w:tr>
      <w:tr w:rsidR="005948BD" w:rsidRPr="00A861AC" w14:paraId="712B431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14E0666"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流动性风险应对措施</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39586A12"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1.拒绝或暂停申购申请的情形</w:t>
            </w:r>
          </w:p>
          <w:p w14:paraId="0FEA076A"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发生下列情形，广州农商银行可以拒绝接受或暂停接受投资者的申购申请：</w:t>
            </w:r>
            <w:r w:rsidRPr="007801A1">
              <w:rPr>
                <w:rFonts w:asciiTheme="minorEastAsia" w:eastAsiaTheme="minorEastAsia" w:hAnsiTheme="minorEastAsia" w:cs="宋体"/>
                <w:kern w:val="0"/>
                <w:szCs w:val="21"/>
              </w:rPr>
              <w:t xml:space="preserve"> </w:t>
            </w:r>
          </w:p>
          <w:p w14:paraId="202B1CF1"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(1)广州农商银行根据理财产品实际投资运作的情况确定理财产品规模上限，认购/申购日若本理财产品实时余额达到理财产品规模上限，广州农商银行有权拒绝超过本理财产品规模上限部分的认购/申购申请。</w:t>
            </w:r>
          </w:p>
          <w:p w14:paraId="3101FC34"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(2)不可抗力的原因导致产品无法正常运作； </w:t>
            </w:r>
          </w:p>
          <w:p w14:paraId="343528A3"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(3)证券交易场所依法决定临时停市或其他特殊情况，导致产品管理人无法计算当日产品资产净值； </w:t>
            </w:r>
          </w:p>
          <w:p w14:paraId="7664D592"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(4)当产品管理人认为某笔申购申请会有损于其他产品份额持有人利益时，可拒绝该笔申购申请；</w:t>
            </w:r>
          </w:p>
          <w:p w14:paraId="15623282"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(5)当接受申购申请对存量理财产品份额持有人利益构成潜在重大不利影响时，管理人可设定单笔申购上限、单一客户持有上限、单日净申购比例上限、拒绝大额申购、暂停产品申购等措施，切实保护存量理财产品持有人的合法权益。</w:t>
            </w:r>
          </w:p>
          <w:p w14:paraId="7338716D"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(6)当市场环境不利于产品新增资金投资运作，或存在可能对产品投资业绩产生负面影响，或管理人认定的其他可能不利于产品份额持有人及潜在投资者利益的情形。</w:t>
            </w:r>
          </w:p>
          <w:p w14:paraId="57645862"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(7)本产品说明书规定的其他情形。</w:t>
            </w:r>
          </w:p>
          <w:p w14:paraId="3F9F961F"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(8)法律、法规规定认定的其他情形。 </w:t>
            </w:r>
          </w:p>
          <w:p w14:paraId="684EFA07"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2.巨额赎回的情形及处理方式</w:t>
            </w:r>
          </w:p>
          <w:p w14:paraId="38DAC56C"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发生巨额赎回时，广州农商银行有权拒绝接受、暂停接受或部分接受投资者的赎回申请：</w:t>
            </w:r>
            <w:r w:rsidRPr="007801A1">
              <w:rPr>
                <w:rFonts w:asciiTheme="minorEastAsia" w:eastAsiaTheme="minorEastAsia" w:hAnsiTheme="minorEastAsia" w:cs="宋体"/>
                <w:kern w:val="0"/>
                <w:szCs w:val="21"/>
              </w:rPr>
              <w:t xml:space="preserve"> </w:t>
            </w:r>
          </w:p>
          <w:p w14:paraId="3BD482C5" w14:textId="77777777" w:rsidR="005948BD" w:rsidRPr="007801A1" w:rsidRDefault="005948BD" w:rsidP="005948BD">
            <w:pPr>
              <w:autoSpaceDE w:val="0"/>
              <w:autoSpaceDN w:val="0"/>
              <w:adjustRightInd w:val="0"/>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单个开放日中，本产品的净赎回申请份额超过上一交易日产品总份额</w:t>
            </w:r>
            <w:r w:rsidRPr="007801A1">
              <w:rPr>
                <w:rFonts w:asciiTheme="minorEastAsia" w:eastAsiaTheme="minorEastAsia" w:hAnsiTheme="minorEastAsia" w:cs="宋体"/>
                <w:kern w:val="0"/>
                <w:szCs w:val="21"/>
              </w:rPr>
              <w:t>10%时，即为巨额赎回。此时广州农商银行有权根据理财产品的资产组合状况决定拒绝赎回申请、暂停接受赎回申请或接受部分赎回申请，直至本赎回</w:t>
            </w:r>
            <w:r w:rsidRPr="007801A1">
              <w:rPr>
                <w:rFonts w:asciiTheme="minorEastAsia" w:eastAsiaTheme="minorEastAsia" w:hAnsiTheme="minorEastAsia" w:cs="宋体"/>
                <w:kern w:val="0"/>
                <w:szCs w:val="21"/>
              </w:rPr>
              <w:lastRenderedPageBreak/>
              <w:t>日交易时间结束。管理人有权按照赎回开放日内投资者赎回递交申请的顺序，依照时间优先（即先申请、先赎回）的原则确认投资者的赎回申请。</w:t>
            </w:r>
          </w:p>
          <w:p w14:paraId="62A9A4CB"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3.暂停赎回或延缓支付赎回款项的情形</w:t>
            </w:r>
          </w:p>
          <w:p w14:paraId="2123E8CC"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发生下列情形，管理人有权延缓支付赎回款项：</w:t>
            </w:r>
            <w:r w:rsidRPr="007801A1">
              <w:rPr>
                <w:rFonts w:asciiTheme="minorEastAsia" w:eastAsiaTheme="minorEastAsia" w:hAnsiTheme="minorEastAsia" w:cs="宋体"/>
                <w:kern w:val="0"/>
                <w:szCs w:val="21"/>
              </w:rPr>
              <w:t xml:space="preserve"> </w:t>
            </w:r>
          </w:p>
          <w:p w14:paraId="79A6A6E8"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(1)因不可抗力导致产品管理人不能支付赎回款项； </w:t>
            </w:r>
          </w:p>
          <w:p w14:paraId="095E1975"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 xml:space="preserve">(2)证券交易场所依法决定临时停市，导致产品管理人无法计算当日产品资产净值； </w:t>
            </w:r>
          </w:p>
          <w:p w14:paraId="7A0344B0"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(3)发生巨额赎回或连续巨额赎回的情形时；</w:t>
            </w:r>
          </w:p>
          <w:p w14:paraId="6A6F1410"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(4)产品管理人和产品托管人的技术保障等异常情况导致理财销售系统或会计系统无法正常运行；</w:t>
            </w:r>
          </w:p>
          <w:p w14:paraId="42619B08"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(5)发生赎回申请超过赎回上限的情形；</w:t>
            </w:r>
          </w:p>
          <w:p w14:paraId="358546FE"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(6)当接受某笔或某些赎回申请可能对存量产品份额持有人利益构成潜在重大不利影响时；</w:t>
            </w:r>
          </w:p>
          <w:p w14:paraId="550143E2"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(7)发生单一投资者持有份额超出比例限制时；</w:t>
            </w:r>
          </w:p>
          <w:p w14:paraId="2C960520"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(8)本产品说明书规定的其他情形。</w:t>
            </w:r>
          </w:p>
          <w:p w14:paraId="124F762B" w14:textId="77777777"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(9)法律、法规规定认定的其它情形。</w:t>
            </w:r>
          </w:p>
          <w:p w14:paraId="5D5DC3BE" w14:textId="06866C14" w:rsidR="005948BD" w:rsidRPr="007801A1" w:rsidRDefault="005948BD" w:rsidP="005948BD">
            <w:pPr>
              <w:widowControl/>
              <w:spacing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在发生产品管理人拒绝或暂停接受投资者认购</w:t>
            </w:r>
            <w:r w:rsidRPr="007801A1">
              <w:rPr>
                <w:rFonts w:asciiTheme="minorEastAsia" w:eastAsiaTheme="minorEastAsia" w:hAnsiTheme="minorEastAsia" w:cs="宋体"/>
                <w:kern w:val="0"/>
                <w:szCs w:val="21"/>
              </w:rPr>
              <w:t>/申购申请、暂停接受投资者赎回申请、延缓支付赎回款项、巨额赎回、暂停产品估值等情形时，理财产品管理人将于3个交易日内告知投资者，并说明运用相关措施的原因和</w:t>
            </w:r>
            <w:proofErr w:type="gramStart"/>
            <w:r w:rsidRPr="007801A1">
              <w:rPr>
                <w:rFonts w:asciiTheme="minorEastAsia" w:eastAsiaTheme="minorEastAsia" w:hAnsiTheme="minorEastAsia" w:cs="宋体" w:hint="eastAsia"/>
                <w:kern w:val="0"/>
                <w:szCs w:val="21"/>
              </w:rPr>
              <w:t>拟采取</w:t>
            </w:r>
            <w:proofErr w:type="gramEnd"/>
            <w:r w:rsidRPr="007801A1">
              <w:rPr>
                <w:rFonts w:asciiTheme="minorEastAsia" w:eastAsiaTheme="minorEastAsia" w:hAnsiTheme="minorEastAsia" w:cs="宋体" w:hint="eastAsia"/>
                <w:kern w:val="0"/>
                <w:szCs w:val="21"/>
              </w:rPr>
              <w:t>的应对安排，并说明有关处理方法。</w:t>
            </w:r>
          </w:p>
        </w:tc>
      </w:tr>
      <w:tr w:rsidR="005948BD" w:rsidRPr="00A861AC" w14:paraId="33D35A32" w14:textId="77777777" w:rsidTr="00156B89">
        <w:trPr>
          <w:trHeight w:val="150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3BA896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lastRenderedPageBreak/>
              <w:t>同类产品参考业绩比较基准</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4634F99F" w14:textId="370E6437" w:rsidR="005948BD" w:rsidRPr="007801A1" w:rsidRDefault="005948BD" w:rsidP="005948BD">
            <w:pPr>
              <w:widowControl/>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kern w:val="0"/>
                <w:szCs w:val="21"/>
              </w:rPr>
              <w:t>1.产品本投资周期同类产品参考业绩比较基准为：</w:t>
            </w:r>
            <w:r w:rsidR="00345AC0">
              <w:rPr>
                <w:rFonts w:asciiTheme="minorEastAsia" w:eastAsiaTheme="minorEastAsia" w:hAnsiTheme="minorEastAsia" w:cs="宋体"/>
                <w:b/>
                <w:kern w:val="0"/>
                <w:szCs w:val="21"/>
                <w:u w:val="single"/>
              </w:rPr>
              <w:t>1.8%-2.5</w:t>
            </w:r>
            <w:r w:rsidRPr="007801A1">
              <w:rPr>
                <w:rFonts w:asciiTheme="minorEastAsia" w:eastAsiaTheme="minorEastAsia" w:hAnsiTheme="minorEastAsia" w:cs="宋体"/>
                <w:b/>
                <w:kern w:val="0"/>
                <w:szCs w:val="21"/>
                <w:u w:val="single"/>
              </w:rPr>
              <w:t>%</w:t>
            </w:r>
            <w:r w:rsidRPr="007801A1">
              <w:rPr>
                <w:rFonts w:asciiTheme="minorEastAsia" w:eastAsiaTheme="minorEastAsia" w:hAnsiTheme="minorEastAsia" w:cs="宋体" w:hint="eastAsia"/>
                <w:kern w:val="0"/>
                <w:szCs w:val="21"/>
              </w:rPr>
              <w:t>（年化）；</w:t>
            </w:r>
          </w:p>
          <w:p w14:paraId="7959291E" w14:textId="0ECC12F4" w:rsidR="005948BD" w:rsidRPr="007801A1" w:rsidRDefault="005948BD" w:rsidP="005948BD">
            <w:pPr>
              <w:ind w:firstLineChars="150" w:firstLine="316"/>
              <w:rPr>
                <w:rFonts w:asciiTheme="minorEastAsia" w:eastAsiaTheme="minorEastAsia" w:hAnsiTheme="minorEastAsia" w:cs="宋体"/>
                <w:b/>
                <w:kern w:val="0"/>
                <w:szCs w:val="21"/>
              </w:rPr>
            </w:pPr>
            <w:r w:rsidRPr="007801A1">
              <w:rPr>
                <w:rFonts w:asciiTheme="minorEastAsia" w:eastAsiaTheme="minorEastAsia" w:hAnsiTheme="minorEastAsia" w:cs="宋体"/>
                <w:b/>
                <w:kern w:val="0"/>
                <w:szCs w:val="21"/>
              </w:rPr>
              <w:t xml:space="preserve"> 2. </w:t>
            </w:r>
            <w:r w:rsidRPr="007801A1">
              <w:rPr>
                <w:rFonts w:asciiTheme="minorEastAsia" w:eastAsiaTheme="minorEastAsia" w:hAnsiTheme="minorEastAsia" w:cs="宋体" w:hint="eastAsia"/>
                <w:b/>
                <w:kern w:val="0"/>
                <w:szCs w:val="21"/>
              </w:rPr>
              <w:t>同类产品参考业绩比较基准不是理财产品预期收益率，不代表投资者可能获得的实际收益，仅作为产品投资管理的业绩目标，并用于计算管理费用，不构成对本理财产品的任何收益承诺或担保。客户的实际收益由产品到期日的净值决定。</w:t>
            </w:r>
          </w:p>
          <w:p w14:paraId="6C8B545D" w14:textId="0A999064" w:rsidR="005948BD" w:rsidRPr="007801A1" w:rsidRDefault="005948BD" w:rsidP="005948BD">
            <w:pPr>
              <w:ind w:firstLineChars="200" w:firstLine="422"/>
              <w:rPr>
                <w:rFonts w:asciiTheme="minorEastAsia" w:eastAsiaTheme="minorEastAsia" w:hAnsiTheme="minorEastAsia" w:cs="宋体"/>
                <w:b/>
                <w:kern w:val="0"/>
                <w:szCs w:val="21"/>
              </w:rPr>
            </w:pPr>
            <w:r w:rsidRPr="007801A1">
              <w:rPr>
                <w:rFonts w:asciiTheme="minorEastAsia" w:eastAsiaTheme="minorEastAsia" w:hAnsiTheme="minorEastAsia" w:cs="宋体"/>
                <w:b/>
                <w:kern w:val="0"/>
                <w:szCs w:val="21"/>
              </w:rPr>
              <w:t>3.</w:t>
            </w:r>
            <w:r w:rsidRPr="007801A1">
              <w:rPr>
                <w:rFonts w:asciiTheme="minorEastAsia" w:eastAsiaTheme="minorEastAsia" w:hAnsiTheme="minorEastAsia" w:cs="宋体" w:hint="eastAsia"/>
                <w:b/>
                <w:kern w:val="0"/>
                <w:szCs w:val="21"/>
              </w:rPr>
              <w:t>管理人根据过往投资经验，结合近期债券等资产投资收益和波动水平，在产品说明书约定的投资范围和投资比例内，综合考虑收取的费用情况，模拟测算得出业绩比较基准。具体测算依据详见“六、产品收益测算”。</w:t>
            </w:r>
          </w:p>
          <w:p w14:paraId="3830665A" w14:textId="77777777" w:rsidR="005948BD" w:rsidRPr="007801A1" w:rsidRDefault="005948BD" w:rsidP="005948BD">
            <w:pPr>
              <w:ind w:firstLineChars="200" w:firstLine="420"/>
              <w:rPr>
                <w:rFonts w:asciiTheme="minorEastAsia" w:eastAsiaTheme="minorEastAsia" w:hAnsiTheme="minorEastAsia" w:cs="宋体"/>
                <w:b/>
                <w:bCs/>
                <w:kern w:val="0"/>
                <w:szCs w:val="21"/>
              </w:rPr>
            </w:pPr>
            <w:r w:rsidRPr="007801A1">
              <w:rPr>
                <w:rFonts w:asciiTheme="minorEastAsia" w:eastAsiaTheme="minorEastAsia" w:hAnsiTheme="minorEastAsia" w:cs="宋体"/>
                <w:kern w:val="0"/>
                <w:szCs w:val="21"/>
              </w:rPr>
              <w:t>4.本产品后续同类产品参考业绩比较基准可根据市场情况进行调整，调整后的参考业绩比较基准将根据信息披露规则进行披露。</w:t>
            </w:r>
          </w:p>
        </w:tc>
      </w:tr>
      <w:tr w:rsidR="005948BD" w:rsidRPr="00A861AC" w14:paraId="01A0FE4C"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E37FF4A"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份额净值公告日</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55498C87" w14:textId="77777777"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开放日下一日为份额净值公告日，公告上一工作日（即开放日）份额净值（</w:t>
            </w:r>
            <w:proofErr w:type="gramStart"/>
            <w:r w:rsidRPr="007801A1">
              <w:rPr>
                <w:rFonts w:asciiTheme="minorEastAsia" w:eastAsiaTheme="minorEastAsia" w:hAnsiTheme="minorEastAsia" w:cs="宋体" w:hint="eastAsia"/>
                <w:kern w:val="0"/>
                <w:szCs w:val="21"/>
              </w:rPr>
              <w:t>如遇非工作日</w:t>
            </w:r>
            <w:proofErr w:type="gramEnd"/>
            <w:r w:rsidRPr="007801A1">
              <w:rPr>
                <w:rFonts w:asciiTheme="minorEastAsia" w:eastAsiaTheme="minorEastAsia" w:hAnsiTheme="minorEastAsia" w:cs="宋体" w:hint="eastAsia"/>
                <w:kern w:val="0"/>
                <w:szCs w:val="21"/>
              </w:rPr>
              <w:t>则顺延至下一个工作日），封闭期内每日净值显示上一开放日（交易日）净值；或与客户约定的不低于上述公告频率的其他方式。</w:t>
            </w:r>
            <w:r w:rsidRPr="007801A1">
              <w:rPr>
                <w:rFonts w:asciiTheme="minorEastAsia" w:eastAsiaTheme="minorEastAsia" w:hAnsiTheme="minorEastAsia" w:cs="宋体"/>
                <w:kern w:val="0"/>
                <w:szCs w:val="21"/>
              </w:rPr>
              <w:t xml:space="preserve"> </w:t>
            </w:r>
          </w:p>
        </w:tc>
      </w:tr>
      <w:tr w:rsidR="005948BD" w:rsidRPr="00A861AC" w14:paraId="0B249FD0" w14:textId="77777777" w:rsidTr="00156B89">
        <w:trPr>
          <w:trHeight w:val="450"/>
        </w:trPr>
        <w:tc>
          <w:tcPr>
            <w:tcW w:w="1327" w:type="pct"/>
            <w:tcBorders>
              <w:top w:val="nil"/>
              <w:left w:val="single" w:sz="12"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84868A0"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税款</w:t>
            </w:r>
            <w:r w:rsidRPr="007801A1">
              <w:rPr>
                <w:rFonts w:asciiTheme="minorEastAsia" w:eastAsiaTheme="minorEastAsia" w:hAnsiTheme="minorEastAsia" w:cs="宋体"/>
                <w:kern w:val="0"/>
                <w:szCs w:val="21"/>
              </w:rPr>
              <w:t xml:space="preserve"> </w:t>
            </w:r>
          </w:p>
        </w:tc>
        <w:tc>
          <w:tcPr>
            <w:tcW w:w="3673" w:type="pct"/>
            <w:tcBorders>
              <w:top w:val="nil"/>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2CE292C0" w14:textId="77777777" w:rsidR="005948BD" w:rsidRPr="007801A1" w:rsidRDefault="005948BD" w:rsidP="005948BD">
            <w:pPr>
              <w:widowControl/>
              <w:spacing w:before="100" w:beforeAutospacing="1" w:after="100" w:afterAutospacing="1" w:line="326" w:lineRule="atLeast"/>
              <w:ind w:firstLineChars="200" w:firstLine="42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5948BD" w:rsidRPr="00A861AC" w14:paraId="1F70A117" w14:textId="77777777" w:rsidTr="00156B89">
        <w:trPr>
          <w:trHeight w:val="452"/>
        </w:trPr>
        <w:tc>
          <w:tcPr>
            <w:tcW w:w="1327" w:type="pct"/>
            <w:tcBorders>
              <w:top w:val="single" w:sz="4" w:space="0" w:color="auto"/>
              <w:left w:val="single" w:sz="12"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13B868"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附属条款</w:t>
            </w:r>
          </w:p>
        </w:tc>
        <w:tc>
          <w:tcPr>
            <w:tcW w:w="3673" w:type="pct"/>
            <w:tcBorders>
              <w:top w:val="single" w:sz="4" w:space="0" w:color="auto"/>
              <w:left w:val="nil"/>
              <w:bottom w:val="single" w:sz="4" w:space="0" w:color="auto"/>
              <w:right w:val="single" w:sz="12" w:space="0" w:color="auto"/>
            </w:tcBorders>
            <w:shd w:val="clear" w:color="auto" w:fill="auto"/>
            <w:tcMar>
              <w:top w:w="15" w:type="dxa"/>
              <w:left w:w="15" w:type="dxa"/>
              <w:bottom w:w="0" w:type="dxa"/>
              <w:right w:w="15" w:type="dxa"/>
            </w:tcMar>
            <w:vAlign w:val="center"/>
          </w:tcPr>
          <w:p w14:paraId="6A9634B3" w14:textId="77777777" w:rsidR="005948BD" w:rsidRPr="007801A1" w:rsidRDefault="005948BD" w:rsidP="005948BD">
            <w:pPr>
              <w:widowControl/>
              <w:spacing w:before="100" w:beforeAutospacing="1" w:after="100" w:afterAutospacing="1" w:line="326" w:lineRule="atLeast"/>
              <w:ind w:firstLine="0"/>
              <w:rPr>
                <w:rFonts w:asciiTheme="minorEastAsia" w:eastAsiaTheme="minorEastAsia" w:hAnsiTheme="minorEastAsia" w:cs="宋体"/>
                <w:kern w:val="0"/>
                <w:szCs w:val="21"/>
              </w:rPr>
            </w:pPr>
            <w:r w:rsidRPr="007801A1">
              <w:rPr>
                <w:rFonts w:asciiTheme="minorEastAsia" w:eastAsiaTheme="minorEastAsia" w:hAnsiTheme="minorEastAsia" w:cs="宋体" w:hint="eastAsia"/>
                <w:kern w:val="0"/>
                <w:szCs w:val="21"/>
              </w:rPr>
              <w:t>本理财产品不可用于理财产品质</w:t>
            </w:r>
            <w:proofErr w:type="gramStart"/>
            <w:r w:rsidRPr="007801A1">
              <w:rPr>
                <w:rFonts w:asciiTheme="minorEastAsia" w:eastAsiaTheme="minorEastAsia" w:hAnsiTheme="minorEastAsia" w:cs="宋体" w:hint="eastAsia"/>
                <w:kern w:val="0"/>
                <w:szCs w:val="21"/>
              </w:rPr>
              <w:t>押</w:t>
            </w:r>
            <w:proofErr w:type="gramEnd"/>
            <w:r w:rsidRPr="007801A1">
              <w:rPr>
                <w:rFonts w:asciiTheme="minorEastAsia" w:eastAsiaTheme="minorEastAsia" w:hAnsiTheme="minorEastAsia" w:cs="宋体" w:hint="eastAsia"/>
                <w:kern w:val="0"/>
                <w:szCs w:val="21"/>
              </w:rPr>
              <w:t>业务。</w:t>
            </w:r>
          </w:p>
        </w:tc>
      </w:tr>
    </w:tbl>
    <w:p w14:paraId="3EE0BA49" w14:textId="75DF380A" w:rsidR="002F37A7" w:rsidRPr="00156B89" w:rsidRDefault="002F37A7" w:rsidP="00156B89">
      <w:pPr>
        <w:pStyle w:val="2"/>
        <w:rPr>
          <w:b w:val="0"/>
          <w:bCs w:val="0"/>
        </w:rPr>
      </w:pPr>
      <w:r w:rsidRPr="00156B89">
        <w:rPr>
          <w:rFonts w:hint="eastAsia"/>
        </w:rPr>
        <w:lastRenderedPageBreak/>
        <w:t>投资管理</w:t>
      </w:r>
    </w:p>
    <w:p w14:paraId="4E574E92" w14:textId="5EF3A530"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b/>
          <w:bCs/>
          <w:color w:val="000000"/>
          <w:kern w:val="0"/>
          <w:sz w:val="24"/>
          <w:szCs w:val="24"/>
          <w:bdr w:val="none" w:sz="0" w:space="0" w:color="auto" w:frame="1"/>
        </w:rPr>
        <w:t>（一）基础资产构成</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3786"/>
      </w:tblGrid>
      <w:tr w:rsidR="00465C6C" w:rsidRPr="00A861AC" w14:paraId="2F044417" w14:textId="77777777" w:rsidTr="00465C6C">
        <w:tc>
          <w:tcPr>
            <w:tcW w:w="3868" w:type="dxa"/>
            <w:vAlign w:val="center"/>
          </w:tcPr>
          <w:p w14:paraId="066E1EE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资产类型</w:t>
            </w:r>
          </w:p>
        </w:tc>
        <w:tc>
          <w:tcPr>
            <w:tcW w:w="3786" w:type="dxa"/>
            <w:vAlign w:val="center"/>
          </w:tcPr>
          <w:p w14:paraId="49A3E13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投资比例</w:t>
            </w:r>
          </w:p>
        </w:tc>
      </w:tr>
      <w:tr w:rsidR="00465C6C" w:rsidRPr="00A861AC" w14:paraId="2247B0D0" w14:textId="77777777" w:rsidTr="00465C6C">
        <w:tc>
          <w:tcPr>
            <w:tcW w:w="3868" w:type="dxa"/>
            <w:vAlign w:val="center"/>
          </w:tcPr>
          <w:p w14:paraId="51B4EDE9"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固定收益类</w:t>
            </w:r>
          </w:p>
        </w:tc>
        <w:tc>
          <w:tcPr>
            <w:tcW w:w="3786" w:type="dxa"/>
            <w:vAlign w:val="center"/>
          </w:tcPr>
          <w:p w14:paraId="2517EF65"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80-100%</w:t>
            </w:r>
          </w:p>
        </w:tc>
      </w:tr>
      <w:tr w:rsidR="00465C6C" w:rsidRPr="00A861AC" w14:paraId="4096161F" w14:textId="77777777" w:rsidTr="00465C6C">
        <w:tc>
          <w:tcPr>
            <w:tcW w:w="3868" w:type="dxa"/>
            <w:vAlign w:val="center"/>
          </w:tcPr>
          <w:p w14:paraId="3356DB1A"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hint="eastAsia"/>
                <w:kern w:val="0"/>
                <w:szCs w:val="21"/>
              </w:rPr>
              <w:t>权益类</w:t>
            </w:r>
          </w:p>
        </w:tc>
        <w:tc>
          <w:tcPr>
            <w:tcW w:w="3786" w:type="dxa"/>
            <w:vAlign w:val="center"/>
          </w:tcPr>
          <w:p w14:paraId="26204F7C" w14:textId="77777777" w:rsidR="00465C6C" w:rsidRPr="00156B89" w:rsidRDefault="00465C6C" w:rsidP="00156B89">
            <w:pPr>
              <w:widowControl/>
              <w:spacing w:before="100" w:beforeAutospacing="1" w:after="100" w:afterAutospacing="1" w:line="326" w:lineRule="atLeast"/>
              <w:ind w:firstLine="0"/>
              <w:rPr>
                <w:rFonts w:ascii="宋体" w:hAnsi="宋体" w:cs="宋体"/>
                <w:kern w:val="0"/>
                <w:szCs w:val="21"/>
              </w:rPr>
            </w:pPr>
            <w:r w:rsidRPr="00156B89">
              <w:rPr>
                <w:rFonts w:ascii="宋体" w:hAnsi="宋体" w:cs="宋体"/>
                <w:kern w:val="0"/>
                <w:szCs w:val="21"/>
              </w:rPr>
              <w:t>0-20%</w:t>
            </w:r>
          </w:p>
        </w:tc>
      </w:tr>
    </w:tbl>
    <w:p w14:paraId="58DB8771"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广州农商银行将本产品募集资金投资于固定收益类资产和权益类资产。其中固定收益类资产投资比例不低于</w:t>
      </w:r>
      <w:r w:rsidRPr="00A861AC">
        <w:rPr>
          <w:rFonts w:ascii="宋体" w:hAnsi="宋体"/>
          <w:sz w:val="24"/>
        </w:rPr>
        <w:t>80%。权益类资产投资比例上限不超过20%。</w:t>
      </w:r>
    </w:p>
    <w:p w14:paraId="78E7CE44"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固定收益资产主要包括银行存款、货币市场工具、债券类资产及其他符合监管要求的债权类资产。债券类资产</w:t>
      </w:r>
      <w:r w:rsidRPr="00A861AC">
        <w:rPr>
          <w:rFonts w:ascii="宋体" w:hAnsi="宋体"/>
          <w:sz w:val="24"/>
        </w:rPr>
        <w:t>,包括但不限于</w:t>
      </w:r>
      <w:r w:rsidRPr="00A861AC">
        <w:rPr>
          <w:rFonts w:ascii="宋体" w:hAnsi="宋体" w:hint="eastAsia"/>
          <w:sz w:val="24"/>
        </w:rPr>
        <w:t>国内依法发行上市的</w:t>
      </w:r>
      <w:r w:rsidRPr="00A861AC">
        <w:rPr>
          <w:rFonts w:ascii="宋体" w:hAnsi="宋体"/>
          <w:sz w:val="24"/>
        </w:rPr>
        <w:t>国债、央行票据、金融债、</w:t>
      </w:r>
      <w:r w:rsidRPr="00A861AC">
        <w:rPr>
          <w:rFonts w:ascii="宋体" w:hAnsi="宋体" w:hint="eastAsia"/>
          <w:sz w:val="24"/>
        </w:rPr>
        <w:t>次级债、地方政府债、</w:t>
      </w:r>
      <w:r w:rsidRPr="00A861AC">
        <w:rPr>
          <w:rFonts w:ascii="宋体" w:hAnsi="宋体"/>
          <w:sz w:val="24"/>
        </w:rPr>
        <w:t>企业债、公司债、短期融资</w:t>
      </w:r>
      <w:proofErr w:type="gramStart"/>
      <w:r w:rsidRPr="00A861AC">
        <w:rPr>
          <w:rFonts w:ascii="宋体" w:hAnsi="宋体"/>
          <w:sz w:val="24"/>
        </w:rPr>
        <w:t>券</w:t>
      </w:r>
      <w:proofErr w:type="gramEnd"/>
      <w:r w:rsidRPr="00A861AC">
        <w:rPr>
          <w:rFonts w:ascii="宋体" w:hAnsi="宋体"/>
          <w:sz w:val="24"/>
        </w:rPr>
        <w:t>、</w:t>
      </w:r>
      <w:r w:rsidRPr="00A861AC">
        <w:rPr>
          <w:rFonts w:ascii="宋体" w:hAnsi="宋体" w:hint="eastAsia"/>
          <w:sz w:val="24"/>
        </w:rPr>
        <w:t>超短期融资</w:t>
      </w:r>
      <w:proofErr w:type="gramStart"/>
      <w:r w:rsidRPr="00A861AC">
        <w:rPr>
          <w:rFonts w:ascii="宋体" w:hAnsi="宋体" w:hint="eastAsia"/>
          <w:sz w:val="24"/>
        </w:rPr>
        <w:t>券</w:t>
      </w:r>
      <w:proofErr w:type="gramEnd"/>
      <w:r w:rsidRPr="00A861AC">
        <w:rPr>
          <w:rFonts w:ascii="宋体" w:hAnsi="宋体" w:hint="eastAsia"/>
          <w:sz w:val="24"/>
        </w:rPr>
        <w:t>、</w:t>
      </w:r>
      <w:r w:rsidRPr="00A861AC">
        <w:rPr>
          <w:rFonts w:ascii="宋体" w:hAnsi="宋体"/>
          <w:sz w:val="24"/>
        </w:rPr>
        <w:t>中期票据、</w:t>
      </w:r>
      <w:r w:rsidRPr="00A861AC">
        <w:rPr>
          <w:rFonts w:ascii="宋体" w:hAnsi="宋体" w:hint="eastAsia"/>
          <w:sz w:val="24"/>
        </w:rPr>
        <w:t>资产支持证券、可转债（</w:t>
      </w:r>
      <w:proofErr w:type="gramStart"/>
      <w:r w:rsidRPr="00A861AC">
        <w:rPr>
          <w:rFonts w:ascii="宋体" w:hAnsi="宋体" w:hint="eastAsia"/>
          <w:sz w:val="24"/>
        </w:rPr>
        <w:t>含可分离</w:t>
      </w:r>
      <w:proofErr w:type="gramEnd"/>
      <w:r w:rsidRPr="00A861AC">
        <w:rPr>
          <w:rFonts w:ascii="宋体" w:hAnsi="宋体" w:hint="eastAsia"/>
          <w:sz w:val="24"/>
        </w:rPr>
        <w:t>交易可转债）、可交换债、私募债券（包括但不限于定向债务融资工具、非公开发行公司债、中小企业私募债）、</w:t>
      </w:r>
      <w:r w:rsidRPr="00A861AC">
        <w:rPr>
          <w:rFonts w:ascii="宋体" w:hAnsi="宋体"/>
          <w:sz w:val="24"/>
        </w:rPr>
        <w:t>债券回购、</w:t>
      </w:r>
      <w:r w:rsidRPr="00A861AC">
        <w:rPr>
          <w:rFonts w:ascii="宋体" w:hAnsi="宋体" w:hint="eastAsia"/>
          <w:sz w:val="24"/>
        </w:rPr>
        <w:t>债券借贷、同业存单、债券基金、货币基金，以及投资性质属于债券类的资产管理计划、信托计划等。权益类资产包括股票、股票基金、混合基金、投资性质属于权益类、混合类的资产管理计划、信托计划等。</w:t>
      </w:r>
    </w:p>
    <w:p w14:paraId="6FE10D32"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投资管理人应当自理财产品成立日或子周期起息日起</w:t>
      </w:r>
      <w:r w:rsidRPr="00A861AC">
        <w:rPr>
          <w:rFonts w:ascii="宋体" w:hAnsi="宋体"/>
          <w:sz w:val="24"/>
        </w:rPr>
        <w:t>6个月内使理财产品资产构成比例符合约定。非管理人主观因素导致突破前述比例限制的，管理人将在流动性受限资产可出售、可转让或恢复交易的15个工作日内调整至符合相关要求。</w:t>
      </w:r>
    </w:p>
    <w:p w14:paraId="27C4392B" w14:textId="77777777" w:rsidR="0092289A" w:rsidRPr="00A861AC" w:rsidRDefault="0092289A" w:rsidP="00156B89">
      <w:pPr>
        <w:pStyle w:val="aa"/>
        <w:spacing w:after="0"/>
        <w:ind w:firstLineChars="200" w:firstLine="480"/>
        <w:rPr>
          <w:rFonts w:ascii="宋体" w:hAnsi="宋体"/>
          <w:sz w:val="24"/>
        </w:rPr>
      </w:pPr>
      <w:r w:rsidRPr="00A861AC">
        <w:rPr>
          <w:rFonts w:ascii="宋体" w:hAnsi="宋体" w:hint="eastAsia"/>
          <w:sz w:val="24"/>
        </w:rPr>
        <w:t>本产品可能存在投资不存在活跃交易市场，并且需要采用估值技术确定公允价值的资产，且投资上述资产的比例达到理财产品净资产</w:t>
      </w:r>
      <w:r w:rsidRPr="00A861AC">
        <w:rPr>
          <w:rFonts w:ascii="宋体" w:hAnsi="宋体"/>
          <w:sz w:val="24"/>
        </w:rPr>
        <w:t>50%以上的情形。</w:t>
      </w:r>
    </w:p>
    <w:p w14:paraId="2DD1DFCB" w14:textId="77777777" w:rsidR="00465C6C" w:rsidRPr="00156B89" w:rsidRDefault="00465C6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（二）基础资产运作</w:t>
      </w:r>
    </w:p>
    <w:p w14:paraId="678338EC" w14:textId="77777777" w:rsidR="00465C6C" w:rsidRPr="00156B89" w:rsidRDefault="00465C6C" w:rsidP="00156B89">
      <w:pPr>
        <w:pStyle w:val="aa"/>
        <w:spacing w:after="0"/>
        <w:ind w:firstLineChars="200" w:firstLine="480"/>
        <w:rPr>
          <w:rFonts w:ascii="宋体" w:hAnsi="宋体"/>
          <w:sz w:val="24"/>
        </w:rPr>
      </w:pPr>
      <w:r w:rsidRPr="00156B89">
        <w:rPr>
          <w:rFonts w:ascii="宋体" w:hAnsi="宋体" w:hint="eastAsia"/>
          <w:sz w:val="24"/>
        </w:rPr>
        <w:t>广州农商银行对所投资金融工具设置相应的投资组合，通过管理投资组合，以获取预期收益。其中：</w:t>
      </w:r>
    </w:p>
    <w:p w14:paraId="302BAF32" w14:textId="44151680"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1</w:t>
      </w:r>
      <w:r w:rsidR="00B57567">
        <w:rPr>
          <w:rFonts w:ascii="宋体" w:hAnsi="宋体" w:hint="eastAsia"/>
          <w:sz w:val="24"/>
        </w:rPr>
        <w:t>.</w:t>
      </w:r>
      <w:r w:rsidRPr="00156B89">
        <w:rPr>
          <w:rFonts w:ascii="宋体" w:hAnsi="宋体"/>
          <w:sz w:val="24"/>
        </w:rPr>
        <w:t>固定收益类资产的比例不低于产品资产净值的80%，现金或者到期日在一年以内的国债、中央银行票据和政策性金融债券的比例合计不低于产品资产净值的5%。</w:t>
      </w:r>
    </w:p>
    <w:p w14:paraId="16ECD580" w14:textId="780D1433" w:rsidR="00465C6C" w:rsidRPr="00156B89" w:rsidRDefault="00465C6C" w:rsidP="00156B89">
      <w:pPr>
        <w:pStyle w:val="aa"/>
        <w:spacing w:after="0"/>
        <w:ind w:firstLineChars="200" w:firstLine="480"/>
        <w:rPr>
          <w:rFonts w:ascii="宋体" w:hAnsi="宋体"/>
          <w:sz w:val="24"/>
        </w:rPr>
      </w:pPr>
      <w:r w:rsidRPr="00156B89">
        <w:rPr>
          <w:rFonts w:ascii="宋体" w:hAnsi="宋体"/>
          <w:sz w:val="24"/>
        </w:rPr>
        <w:t>2</w:t>
      </w:r>
      <w:r w:rsidR="00B57567">
        <w:rPr>
          <w:rFonts w:ascii="宋体" w:hAnsi="宋体" w:hint="eastAsia"/>
          <w:sz w:val="24"/>
        </w:rPr>
        <w:t>.</w:t>
      </w:r>
      <w:r w:rsidRPr="00156B89">
        <w:rPr>
          <w:rFonts w:ascii="宋体" w:hAnsi="宋体"/>
          <w:sz w:val="24"/>
        </w:rPr>
        <w:t>产品的总资产不得超过产品净资产的140%。</w:t>
      </w:r>
    </w:p>
    <w:p w14:paraId="16C75C28" w14:textId="77777777" w:rsidR="00465C6C" w:rsidRPr="00A861AC" w:rsidRDefault="00465C6C" w:rsidP="00156B89">
      <w:pPr>
        <w:pStyle w:val="aa"/>
        <w:spacing w:after="0"/>
        <w:ind w:firstLineChars="200" w:firstLine="480"/>
        <w:rPr>
          <w:rFonts w:ascii="宋体" w:hAnsi="宋体"/>
          <w:sz w:val="24"/>
        </w:rPr>
      </w:pPr>
      <w:r w:rsidRPr="00A861AC">
        <w:rPr>
          <w:rFonts w:ascii="宋体" w:hAnsi="宋体" w:hint="eastAsia"/>
          <w:sz w:val="24"/>
        </w:rPr>
        <w:t>本产品将会在产品成立日或周期起息日之后的三个月内使资产配置比例符合上述规定。</w:t>
      </w:r>
      <w:r w:rsidRPr="00156B89">
        <w:rPr>
          <w:rFonts w:ascii="宋体" w:hAnsi="宋体" w:hint="eastAsia"/>
          <w:sz w:val="24"/>
        </w:rPr>
        <w:t>非银行主观因素导致突破前述比例限制的，广州农商银行会在流动性受限资产可出售、可转让或者恢复交易的</w:t>
      </w:r>
      <w:r w:rsidRPr="00156B89">
        <w:rPr>
          <w:rFonts w:ascii="宋体" w:hAnsi="宋体"/>
          <w:sz w:val="24"/>
        </w:rPr>
        <w:t>15个交易日内调整至符合要求。</w:t>
      </w:r>
      <w:r w:rsidRPr="00156B89">
        <w:rPr>
          <w:rFonts w:ascii="宋体" w:hAnsi="宋体" w:hint="eastAsia"/>
          <w:sz w:val="24"/>
        </w:rPr>
        <w:t>广州农商银行有权根据市场情况，在不对客户实质性权益产生重大影响且根据约定提前公告的情况下，对本理财产品的投资范围、投资品种和投资比例进行调整。</w:t>
      </w:r>
    </w:p>
    <w:p w14:paraId="79271709"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（三）投资策略</w:t>
      </w:r>
    </w:p>
    <w:p w14:paraId="6BABB06C" w14:textId="28CCD15B"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sz w:val="24"/>
        </w:rPr>
        <w:t>1</w:t>
      </w:r>
      <w:r w:rsidR="00B57567">
        <w:rPr>
          <w:rFonts w:ascii="宋体" w:hAnsi="宋体" w:hint="eastAsia"/>
          <w:sz w:val="24"/>
        </w:rPr>
        <w:t>.</w:t>
      </w:r>
      <w:r w:rsidRPr="00A861AC">
        <w:rPr>
          <w:rFonts w:ascii="宋体" w:hAnsi="宋体"/>
          <w:sz w:val="24"/>
        </w:rPr>
        <w:t>资产配置策略</w:t>
      </w:r>
    </w:p>
    <w:p w14:paraId="349C1EB0" w14:textId="098C96FA"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1）本理财产品通过综合分析国内外宏观经济态势、利率走势、收益率曲线变化趋势和信用风险变化等因素，并结合各种固定收益类资产在特定经济形势下的估值水平、预期收益和预期风险特征，在符合本产品相关投资比例规定的前提下，决定组合</w:t>
      </w:r>
      <w:proofErr w:type="gramStart"/>
      <w:r w:rsidR="00465C6C" w:rsidRPr="00A861AC">
        <w:rPr>
          <w:rFonts w:ascii="宋体" w:hAnsi="宋体" w:hint="eastAsia"/>
          <w:bCs/>
          <w:sz w:val="24"/>
        </w:rPr>
        <w:t>的久期水平</w:t>
      </w:r>
      <w:proofErr w:type="gramEnd"/>
      <w:r w:rsidR="00465C6C" w:rsidRPr="00A861AC">
        <w:rPr>
          <w:rFonts w:ascii="宋体" w:hAnsi="宋体" w:hint="eastAsia"/>
          <w:bCs/>
          <w:sz w:val="24"/>
        </w:rPr>
        <w:t>、期限结构和类属配置，并在此基础之上实施积极的债券投资组合管理，力争获取较高的投资收益。</w:t>
      </w:r>
    </w:p>
    <w:p w14:paraId="64521EBA" w14:textId="344251E2" w:rsidR="00465C6C" w:rsidRPr="00A861AC" w:rsidRDefault="00BE42FD" w:rsidP="00663B4C">
      <w:pPr>
        <w:pStyle w:val="aa"/>
        <w:spacing w:after="0" w:line="276" w:lineRule="auto"/>
        <w:rPr>
          <w:rFonts w:ascii="宋体" w:hAnsi="宋体"/>
          <w:bCs/>
          <w:sz w:val="24"/>
        </w:rPr>
      </w:pPr>
      <w:r w:rsidRPr="00A861AC">
        <w:rPr>
          <w:rFonts w:ascii="宋体" w:hAnsi="宋体"/>
          <w:bCs/>
          <w:sz w:val="24"/>
        </w:rPr>
        <w:t xml:space="preserve">   </w:t>
      </w:r>
      <w:r w:rsidR="00465C6C" w:rsidRPr="00A861AC">
        <w:rPr>
          <w:rFonts w:ascii="宋体" w:hAnsi="宋体" w:hint="eastAsia"/>
          <w:bCs/>
          <w:sz w:val="24"/>
        </w:rPr>
        <w:t>（</w:t>
      </w:r>
      <w:r w:rsidR="00465C6C" w:rsidRPr="00A861AC">
        <w:rPr>
          <w:rFonts w:ascii="宋体" w:hAnsi="宋体"/>
          <w:bCs/>
          <w:sz w:val="24"/>
        </w:rPr>
        <w:t>2）综合本理财产品的安全性、流动性和收益性要求，根据安全性优先、追求适度收益的投资理念，在资产配置中较大比例投资高信用等级金融工具，以满足安全性和流动性要求，在此基础上适度投资风险相对较低、收益相对较高的金融资产，进一步提高产品收益水平。</w:t>
      </w:r>
    </w:p>
    <w:p w14:paraId="3D71A8C7" w14:textId="54884807" w:rsidR="00465C6C" w:rsidRPr="00A861AC" w:rsidRDefault="00465C6C" w:rsidP="00465C6C">
      <w:pPr>
        <w:pStyle w:val="aa"/>
        <w:spacing w:after="0" w:line="276" w:lineRule="auto"/>
        <w:ind w:firstLineChars="200" w:firstLine="480"/>
        <w:rPr>
          <w:rFonts w:ascii="宋体" w:hAnsi="宋体"/>
          <w:sz w:val="24"/>
        </w:rPr>
      </w:pPr>
      <w:r w:rsidRPr="00A861AC">
        <w:rPr>
          <w:rFonts w:ascii="宋体" w:hAnsi="宋体"/>
          <w:bCs/>
          <w:sz w:val="24"/>
        </w:rPr>
        <w:t>2</w:t>
      </w:r>
      <w:r w:rsidR="00B57567">
        <w:rPr>
          <w:rFonts w:ascii="宋体" w:hAnsi="宋体" w:hint="eastAsia"/>
          <w:sz w:val="24"/>
        </w:rPr>
        <w:t>.</w:t>
      </w:r>
      <w:r w:rsidRPr="00A861AC">
        <w:rPr>
          <w:rFonts w:ascii="宋体" w:hAnsi="宋体"/>
          <w:sz w:val="24"/>
        </w:rPr>
        <w:t>权益类投资策略</w:t>
      </w:r>
    </w:p>
    <w:p w14:paraId="102C4A3D" w14:textId="77777777" w:rsidR="004D3DDD" w:rsidRPr="00A861AC" w:rsidRDefault="004D3DDD" w:rsidP="004D3DDD">
      <w:pPr>
        <w:pStyle w:val="aa"/>
        <w:spacing w:after="0"/>
        <w:ind w:firstLineChars="200" w:firstLine="480"/>
        <w:rPr>
          <w:rFonts w:ascii="宋体" w:hAnsi="宋体"/>
          <w:sz w:val="24"/>
        </w:rPr>
      </w:pPr>
      <w:r w:rsidRPr="00A861AC">
        <w:rPr>
          <w:rFonts w:ascii="宋体" w:hAnsi="宋体"/>
          <w:sz w:val="24"/>
        </w:rPr>
        <w:t>在宏观</w:t>
      </w:r>
      <w:r w:rsidRPr="00A861AC">
        <w:rPr>
          <w:rFonts w:ascii="宋体" w:hAnsi="宋体" w:hint="eastAsia"/>
          <w:sz w:val="24"/>
        </w:rPr>
        <w:t>研究</w:t>
      </w:r>
      <w:r w:rsidRPr="00A861AC">
        <w:rPr>
          <w:rFonts w:ascii="宋体" w:hAnsi="宋体"/>
          <w:sz w:val="24"/>
        </w:rPr>
        <w:t>的基础上强调</w:t>
      </w:r>
      <w:r w:rsidRPr="00A861AC">
        <w:rPr>
          <w:rFonts w:ascii="宋体" w:hAnsi="宋体" w:hint="eastAsia"/>
          <w:sz w:val="24"/>
        </w:rPr>
        <w:t>估值水平和</w:t>
      </w:r>
      <w:r w:rsidRPr="00A861AC">
        <w:rPr>
          <w:rFonts w:ascii="宋体" w:hAnsi="宋体"/>
          <w:sz w:val="24"/>
        </w:rPr>
        <w:t>行业</w:t>
      </w:r>
      <w:r w:rsidRPr="00A861AC">
        <w:rPr>
          <w:rFonts w:ascii="宋体" w:hAnsi="宋体" w:hint="eastAsia"/>
          <w:sz w:val="24"/>
        </w:rPr>
        <w:t>优选，在控制整体波动的情况下，以创造绝对收益为投资目标</w:t>
      </w:r>
      <w:r w:rsidRPr="00A861AC">
        <w:rPr>
          <w:rFonts w:ascii="宋体" w:hAnsi="宋体"/>
          <w:sz w:val="24"/>
        </w:rPr>
        <w:t>。</w:t>
      </w:r>
      <w:r w:rsidRPr="00A861AC">
        <w:rPr>
          <w:rFonts w:ascii="宋体" w:hAnsi="宋体" w:hint="eastAsia"/>
          <w:sz w:val="24"/>
        </w:rPr>
        <w:t>投资工具选取含权益的公</w:t>
      </w:r>
      <w:proofErr w:type="gramStart"/>
      <w:r w:rsidRPr="00A861AC">
        <w:rPr>
          <w:rFonts w:ascii="宋体" w:hAnsi="宋体" w:hint="eastAsia"/>
          <w:sz w:val="24"/>
        </w:rPr>
        <w:t>募基金</w:t>
      </w:r>
      <w:proofErr w:type="gramEnd"/>
      <w:r w:rsidRPr="00A861AC">
        <w:rPr>
          <w:rFonts w:ascii="宋体" w:hAnsi="宋体" w:hint="eastAsia"/>
          <w:sz w:val="24"/>
        </w:rPr>
        <w:t>构建</w:t>
      </w:r>
      <w:r w:rsidRPr="00A861AC">
        <w:rPr>
          <w:rFonts w:ascii="宋体" w:hAnsi="宋体"/>
          <w:sz w:val="24"/>
        </w:rPr>
        <w:t>FOF组合，控制权益类资产的波动，</w:t>
      </w:r>
      <w:r w:rsidRPr="00A861AC">
        <w:rPr>
          <w:rFonts w:ascii="宋体" w:hAnsi="宋体" w:hint="eastAsia"/>
          <w:sz w:val="24"/>
        </w:rPr>
        <w:lastRenderedPageBreak/>
        <w:t>并通过行业和风格的轮动，</w:t>
      </w:r>
      <w:r w:rsidRPr="00A861AC">
        <w:rPr>
          <w:rFonts w:ascii="宋体" w:hAnsi="宋体"/>
          <w:sz w:val="24"/>
        </w:rPr>
        <w:t>力争获得超越市场平均水平的收益。</w:t>
      </w:r>
    </w:p>
    <w:p w14:paraId="6F36DE2A" w14:textId="0B4028AF"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3</w:t>
      </w:r>
      <w:r w:rsidR="00B57567">
        <w:rPr>
          <w:rFonts w:ascii="宋体" w:hAnsi="宋体" w:hint="eastAsia"/>
          <w:sz w:val="24"/>
        </w:rPr>
        <w:t>.</w:t>
      </w:r>
      <w:r w:rsidRPr="00A861AC">
        <w:rPr>
          <w:rFonts w:ascii="宋体" w:hAnsi="宋体" w:hint="eastAsia"/>
          <w:sz w:val="24"/>
        </w:rPr>
        <w:t>利率预期策略</w:t>
      </w:r>
    </w:p>
    <w:p w14:paraId="26F5E1E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根据宏观经济、债券市场情况，制定本理财产品的利率预期策略。如果预期利率下降，将增加组合的平均剩余期限；反之，则缩短组合的平均剩余期限。</w:t>
      </w:r>
    </w:p>
    <w:p w14:paraId="41E72884" w14:textId="376589E2"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4</w:t>
      </w:r>
      <w:r w:rsidR="00B57567">
        <w:rPr>
          <w:rFonts w:ascii="宋体" w:hAnsi="宋体" w:hint="eastAsia"/>
          <w:sz w:val="24"/>
        </w:rPr>
        <w:t>.</w:t>
      </w:r>
      <w:r w:rsidRPr="00A861AC">
        <w:rPr>
          <w:rFonts w:ascii="宋体" w:hAnsi="宋体" w:hint="eastAsia"/>
          <w:sz w:val="24"/>
        </w:rPr>
        <w:t>类属配置策略</w:t>
      </w:r>
      <w:r w:rsidRPr="00A861AC">
        <w:rPr>
          <w:rFonts w:ascii="宋体" w:hAnsi="宋体"/>
          <w:sz w:val="24"/>
        </w:rPr>
        <w:t xml:space="preserve"> </w:t>
      </w:r>
    </w:p>
    <w:p w14:paraId="5C0A1722"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在保持组合资产相对稳定的条件下，根据各类金融工具的市场规模、收益性和流动性，决定各类资产的配置比例。</w:t>
      </w:r>
    </w:p>
    <w:p w14:paraId="0A2662A0" w14:textId="4D676171"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5</w:t>
      </w:r>
      <w:r w:rsidR="00B57567">
        <w:rPr>
          <w:rFonts w:ascii="宋体" w:hAnsi="宋体" w:hint="eastAsia"/>
          <w:sz w:val="24"/>
        </w:rPr>
        <w:t>.</w:t>
      </w:r>
      <w:r w:rsidRPr="00A861AC">
        <w:rPr>
          <w:rFonts w:ascii="宋体" w:hAnsi="宋体" w:hint="eastAsia"/>
          <w:sz w:val="24"/>
        </w:rPr>
        <w:t>组合优化</w:t>
      </w:r>
    </w:p>
    <w:p w14:paraId="7DA23D7B"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在投资组合构建和调整的过程中，根据投资品种的变化，如信用价差、收益率、流动性状况变化，品种到期等，定期、不定期地对组合进行优化调整。</w:t>
      </w:r>
      <w:r w:rsidRPr="00A861AC">
        <w:rPr>
          <w:rFonts w:ascii="宋体" w:hAnsi="宋体"/>
          <w:sz w:val="24"/>
        </w:rPr>
        <w:t xml:space="preserve"> </w:t>
      </w:r>
    </w:p>
    <w:p w14:paraId="541DA213" w14:textId="12120AB0"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6</w:t>
      </w:r>
      <w:r w:rsidR="00B57567">
        <w:rPr>
          <w:rFonts w:ascii="宋体" w:hAnsi="宋体" w:hint="eastAsia"/>
          <w:sz w:val="24"/>
        </w:rPr>
        <w:t>.</w:t>
      </w:r>
      <w:r w:rsidRPr="00A861AC">
        <w:rPr>
          <w:rFonts w:ascii="宋体" w:hAnsi="宋体" w:hint="eastAsia"/>
          <w:sz w:val="24"/>
        </w:rPr>
        <w:t>短期利率波动策略</w:t>
      </w:r>
    </w:p>
    <w:p w14:paraId="0FDF9FA0"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短期利率水平会因市场环境的变化出现短暂的波动，把握新债发行、季节因素、日历效应等机会，捕捉回购利率的高点。</w:t>
      </w:r>
    </w:p>
    <w:p w14:paraId="10FB861C" w14:textId="5930C539"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7</w:t>
      </w:r>
      <w:r w:rsidR="00B57567">
        <w:rPr>
          <w:rFonts w:ascii="宋体" w:hAnsi="宋体" w:hint="eastAsia"/>
          <w:sz w:val="24"/>
        </w:rPr>
        <w:t>.</w:t>
      </w:r>
      <w:r w:rsidRPr="00A861AC">
        <w:rPr>
          <w:rFonts w:ascii="宋体" w:hAnsi="宋体" w:hint="eastAsia"/>
          <w:sz w:val="24"/>
        </w:rPr>
        <w:t>利差交易</w:t>
      </w:r>
    </w:p>
    <w:p w14:paraId="1C549081"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由于债券收益率曲线在不断发生形变，不同期限债券的收益率差也在变化，投资管理人将判断不同期限债券间收益率差扩大或缩小的趋势，进一步提高产品收益水平。</w:t>
      </w:r>
      <w:r w:rsidRPr="00A861AC">
        <w:rPr>
          <w:rFonts w:ascii="宋体" w:hAnsi="宋体"/>
          <w:sz w:val="24"/>
        </w:rPr>
        <w:t xml:space="preserve"> </w:t>
      </w:r>
    </w:p>
    <w:p w14:paraId="73385E68" w14:textId="3F0AF9E4"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8</w:t>
      </w:r>
      <w:r w:rsidR="00B57567">
        <w:rPr>
          <w:rFonts w:ascii="宋体" w:hAnsi="宋体" w:hint="eastAsia"/>
          <w:sz w:val="24"/>
        </w:rPr>
        <w:t>.</w:t>
      </w:r>
      <w:r w:rsidRPr="00A861AC">
        <w:rPr>
          <w:rFonts w:ascii="宋体" w:hAnsi="宋体" w:hint="eastAsia"/>
          <w:sz w:val="24"/>
        </w:rPr>
        <w:t>企业信用投资策略</w:t>
      </w:r>
    </w:p>
    <w:p w14:paraId="548AA8CD"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由于宏观经济变化，企业信用利差不断发生变化，通过判断不同企业信用利差扩大或缩小的趋势，采用定量分析与定性分析相结合的分析方法对发债主体企业进行深入的基本面分析，并结合债券的发行条款，确定信用债的实际信用风险状况及其信用利差水平，挖掘并投资于信用风险相对较低、信用利差收益相对较大的优质信用债品种，进一步提高理财产品收益。</w:t>
      </w:r>
    </w:p>
    <w:p w14:paraId="667AA566" w14:textId="23218608" w:rsidR="00BE42FD" w:rsidRPr="00A861AC" w:rsidRDefault="00BE42FD" w:rsidP="00BE42FD">
      <w:pPr>
        <w:pStyle w:val="aa"/>
        <w:spacing w:after="0"/>
        <w:ind w:firstLineChars="200" w:firstLine="480"/>
        <w:rPr>
          <w:rFonts w:ascii="宋体" w:hAnsi="宋体"/>
          <w:sz w:val="24"/>
        </w:rPr>
      </w:pPr>
      <w:r w:rsidRPr="00A861AC">
        <w:rPr>
          <w:rFonts w:ascii="宋体" w:hAnsi="宋体"/>
          <w:sz w:val="24"/>
        </w:rPr>
        <w:t>9</w:t>
      </w:r>
      <w:r w:rsidR="00B57567">
        <w:rPr>
          <w:rFonts w:ascii="宋体" w:hAnsi="宋体" w:hint="eastAsia"/>
          <w:sz w:val="24"/>
        </w:rPr>
        <w:t>.</w:t>
      </w:r>
      <w:r w:rsidRPr="00A861AC">
        <w:rPr>
          <w:rFonts w:ascii="宋体" w:hAnsi="宋体" w:hint="eastAsia"/>
          <w:sz w:val="24"/>
        </w:rPr>
        <w:t>非标准债权投资策略</w:t>
      </w:r>
    </w:p>
    <w:p w14:paraId="0A282D99" w14:textId="77777777" w:rsidR="00BE42FD" w:rsidRPr="00A861AC" w:rsidRDefault="00BE42FD" w:rsidP="00BE42FD">
      <w:pPr>
        <w:pStyle w:val="aa"/>
        <w:spacing w:after="0"/>
        <w:ind w:firstLineChars="200" w:firstLine="480"/>
        <w:rPr>
          <w:rFonts w:ascii="宋体" w:hAnsi="宋体"/>
          <w:sz w:val="24"/>
        </w:rPr>
      </w:pPr>
      <w:r w:rsidRPr="00A861AC">
        <w:rPr>
          <w:rFonts w:ascii="宋体" w:hAnsi="宋体" w:hint="eastAsia"/>
          <w:sz w:val="24"/>
        </w:rPr>
        <w:t>根据宏观经济形势、产业政策和行业发展趋势，通过严格筛选机制识别项目和融资人的风险因子（包括但不限于市场风险、信用风险、法律风险等）审慎参与非标准债权投资，同时，通过投前尽职调查和投后管理，实施全过程风险监控，及时跟踪项目风险。</w:t>
      </w:r>
    </w:p>
    <w:p w14:paraId="26E60710" w14:textId="77777777" w:rsidR="00465C6C" w:rsidRPr="00156B89" w:rsidRDefault="00465C6C" w:rsidP="00156B89">
      <w:pPr>
        <w:widowControl/>
        <w:ind w:firstLine="282"/>
        <w:outlineLvl w:val="1"/>
        <w:rPr>
          <w:rFonts w:ascii="宋体" w:hAnsi="宋体" w:cs="宋体"/>
          <w:b/>
          <w:bCs/>
          <w:color w:val="000000"/>
          <w:kern w:val="0"/>
          <w:sz w:val="24"/>
          <w:bdr w:val="none" w:sz="0" w:space="0" w:color="auto" w:frame="1"/>
        </w:rPr>
      </w:pPr>
      <w:r w:rsidRPr="00156B89">
        <w:rPr>
          <w:rFonts w:ascii="宋体" w:hAnsi="宋体" w:cs="宋体" w:hint="eastAsia"/>
          <w:b/>
          <w:bCs/>
          <w:color w:val="000000"/>
          <w:kern w:val="0"/>
          <w:sz w:val="24"/>
          <w:szCs w:val="24"/>
          <w:bdr w:val="none" w:sz="0" w:space="0" w:color="auto" w:frame="1"/>
        </w:rPr>
        <w:t>（四）投资集中度限制</w:t>
      </w:r>
    </w:p>
    <w:p w14:paraId="61A9C568" w14:textId="581FB174" w:rsidR="00465C6C" w:rsidRPr="00156B89" w:rsidRDefault="00465C6C" w:rsidP="00156B89">
      <w:pPr>
        <w:spacing w:line="276" w:lineRule="auto"/>
        <w:ind w:firstLineChars="200" w:firstLine="480"/>
        <w:rPr>
          <w:rFonts w:ascii="宋体" w:hAnsi="宋体"/>
          <w:sz w:val="24"/>
        </w:rPr>
      </w:pPr>
      <w:r w:rsidRPr="00156B89">
        <w:rPr>
          <w:rFonts w:ascii="宋体" w:hAnsi="宋体"/>
          <w:sz w:val="24"/>
          <w:szCs w:val="24"/>
        </w:rPr>
        <w:t>1</w:t>
      </w:r>
      <w:r w:rsidR="00B57567">
        <w:rPr>
          <w:rFonts w:ascii="宋体" w:hAnsi="宋体" w:hint="eastAsia"/>
          <w:sz w:val="24"/>
          <w:szCs w:val="24"/>
        </w:rPr>
        <w:t>.</w:t>
      </w:r>
      <w:r w:rsidRPr="00156B89">
        <w:rPr>
          <w:rFonts w:ascii="宋体" w:hAnsi="宋体"/>
          <w:sz w:val="24"/>
          <w:szCs w:val="24"/>
        </w:rPr>
        <w:t>本产品投资单只证券或者单只证券投资基金的市值不得超过产品净资产的10%。</w:t>
      </w:r>
    </w:p>
    <w:p w14:paraId="5EC392AF" w14:textId="52E79318" w:rsidR="00E8173D" w:rsidRPr="00A861AC" w:rsidRDefault="00E53931" w:rsidP="00156B89">
      <w:pPr>
        <w:spacing w:line="276" w:lineRule="auto"/>
        <w:ind w:firstLineChars="200" w:firstLine="480"/>
        <w:rPr>
          <w:rFonts w:ascii="宋体" w:hAnsi="宋体"/>
          <w:sz w:val="24"/>
        </w:rPr>
      </w:pPr>
      <w:r w:rsidRPr="00156B89">
        <w:rPr>
          <w:rFonts w:ascii="宋体" w:hAnsi="宋体"/>
          <w:sz w:val="24"/>
          <w:szCs w:val="24"/>
        </w:rPr>
        <w:t>2</w:t>
      </w:r>
      <w:r w:rsidR="00B57567">
        <w:rPr>
          <w:rFonts w:ascii="宋体" w:hAnsi="宋体" w:hint="eastAsia"/>
          <w:sz w:val="24"/>
          <w:szCs w:val="24"/>
        </w:rPr>
        <w:t>.</w:t>
      </w:r>
      <w:r w:rsidRPr="00156B89">
        <w:rPr>
          <w:rFonts w:ascii="宋体" w:hAnsi="宋体" w:hint="eastAsia"/>
          <w:sz w:val="24"/>
          <w:szCs w:val="24"/>
        </w:rPr>
        <w:t>管理人发行的全部公募理财产品投资单只证券或者单只公募证券投资基金的市值不得超过该证券市值或者公募证券投资基金市值的</w:t>
      </w:r>
      <w:r w:rsidRPr="00156B89">
        <w:rPr>
          <w:rFonts w:ascii="宋体" w:hAnsi="宋体"/>
          <w:sz w:val="24"/>
          <w:szCs w:val="24"/>
        </w:rPr>
        <w:t>30%</w:t>
      </w:r>
      <w:r w:rsidRPr="00156B89">
        <w:rPr>
          <w:rFonts w:ascii="宋体" w:hAnsi="宋体" w:hint="eastAsia"/>
          <w:sz w:val="24"/>
          <w:szCs w:val="24"/>
        </w:rPr>
        <w:t>。管理人发行的全部理财产品投资单一上市公司发行的股票不得超过该上市公司可流通股票的</w:t>
      </w:r>
      <w:r w:rsidRPr="00156B89">
        <w:rPr>
          <w:rFonts w:ascii="宋体" w:hAnsi="宋体"/>
          <w:sz w:val="24"/>
          <w:szCs w:val="24"/>
        </w:rPr>
        <w:t>30%</w:t>
      </w:r>
      <w:r w:rsidRPr="00156B89">
        <w:rPr>
          <w:rFonts w:ascii="宋体" w:hAnsi="宋体" w:hint="eastAsia"/>
          <w:sz w:val="24"/>
          <w:szCs w:val="24"/>
        </w:rPr>
        <w:t>。</w:t>
      </w:r>
      <w:r w:rsidR="00E8173D" w:rsidRPr="00A861AC">
        <w:rPr>
          <w:rFonts w:ascii="宋体" w:hAnsi="宋体"/>
          <w:sz w:val="24"/>
          <w:szCs w:val="24"/>
        </w:rPr>
        <w:t xml:space="preserve"> </w:t>
      </w:r>
    </w:p>
    <w:p w14:paraId="2D1A00A6" w14:textId="77777777" w:rsidR="00465C6C" w:rsidRPr="00A861AC" w:rsidRDefault="00465C6C" w:rsidP="00156B89">
      <w:pPr>
        <w:spacing w:line="276" w:lineRule="auto"/>
        <w:ind w:firstLineChars="200" w:firstLine="480"/>
        <w:rPr>
          <w:rFonts w:ascii="宋体" w:hAnsi="宋体"/>
          <w:sz w:val="24"/>
        </w:rPr>
      </w:pPr>
      <w:r w:rsidRPr="00A861AC">
        <w:rPr>
          <w:rFonts w:ascii="宋体" w:hAnsi="宋体" w:hint="eastAsia"/>
          <w:sz w:val="24"/>
          <w:szCs w:val="24"/>
        </w:rPr>
        <w:t>对于非因银行主观因素导致突破上述比例限制的，广州农商银行将在流动性受限资产可出售、可转让或者恢复交易的</w:t>
      </w:r>
      <w:r w:rsidRPr="00A861AC">
        <w:rPr>
          <w:rFonts w:ascii="宋体" w:hAnsi="宋体"/>
          <w:sz w:val="24"/>
          <w:szCs w:val="24"/>
        </w:rPr>
        <w:t xml:space="preserve">10 </w:t>
      </w:r>
      <w:proofErr w:type="gramStart"/>
      <w:r w:rsidRPr="00A861AC">
        <w:rPr>
          <w:rFonts w:ascii="宋体" w:hAnsi="宋体" w:hint="eastAsia"/>
          <w:sz w:val="24"/>
          <w:szCs w:val="24"/>
        </w:rPr>
        <w:t>个</w:t>
      </w:r>
      <w:proofErr w:type="gramEnd"/>
      <w:r w:rsidRPr="00A861AC">
        <w:rPr>
          <w:rFonts w:ascii="宋体" w:hAnsi="宋体" w:hint="eastAsia"/>
          <w:sz w:val="24"/>
          <w:szCs w:val="24"/>
        </w:rPr>
        <w:t>交易日内调整至符合要求。</w:t>
      </w:r>
    </w:p>
    <w:p w14:paraId="5997BAAB" w14:textId="1902E566" w:rsidR="00C871EC" w:rsidRPr="00156B89" w:rsidRDefault="00C871EC" w:rsidP="00156B89">
      <w:pPr>
        <w:pStyle w:val="2"/>
        <w:rPr>
          <w:b w:val="0"/>
          <w:bCs w:val="0"/>
        </w:rPr>
      </w:pPr>
      <w:r w:rsidRPr="00156B89">
        <w:rPr>
          <w:rFonts w:hint="eastAsia"/>
        </w:rPr>
        <w:t>理财产品管理人</w:t>
      </w:r>
    </w:p>
    <w:p w14:paraId="2CE10E36"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本理财产品管理人为广州农村商业银行股份有限公司（以下简称“广州农商银行”），广州农商银行接受客户的委托和授权，按照本产品说明书约定的投资方向和方式进行投资和资产管理，代表客户签订投资和资产管理过程中涉及到的协议、合同等文本。负责理财产品项下投资组合的投资运作和管理。</w:t>
      </w:r>
    </w:p>
    <w:p w14:paraId="50EAEA29"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hint="eastAsia"/>
          <w:sz w:val="24"/>
          <w:szCs w:val="24"/>
        </w:rPr>
        <w:t>投资者在此授权并同意广州农商银行享有以下权利：</w:t>
      </w:r>
      <w:r w:rsidRPr="00A861AC">
        <w:rPr>
          <w:rFonts w:ascii="宋体" w:hAnsi="宋体"/>
          <w:sz w:val="24"/>
          <w:szCs w:val="24"/>
        </w:rPr>
        <w:t xml:space="preserve">  </w:t>
      </w:r>
    </w:p>
    <w:p w14:paraId="5F25F7BE" w14:textId="77777777" w:rsidR="00465C6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1. </w:t>
      </w:r>
      <w:r w:rsidRPr="00A861AC">
        <w:rPr>
          <w:rFonts w:ascii="宋体" w:hAnsi="宋体" w:hint="eastAsia"/>
          <w:sz w:val="24"/>
          <w:szCs w:val="24"/>
        </w:rPr>
        <w:t>以理财产品管理人的名义，依照法律法规相关规定以及为理财产品的利益，对被投资的各类基金（</w:t>
      </w:r>
      <w:proofErr w:type="gramStart"/>
      <w:r w:rsidRPr="00A861AC">
        <w:rPr>
          <w:rFonts w:ascii="宋体" w:hAnsi="宋体" w:hint="eastAsia"/>
          <w:sz w:val="24"/>
          <w:szCs w:val="24"/>
        </w:rPr>
        <w:t>含公募基金</w:t>
      </w:r>
      <w:proofErr w:type="gramEnd"/>
      <w:r w:rsidRPr="00A861AC">
        <w:rPr>
          <w:rFonts w:ascii="宋体" w:hAnsi="宋体" w:hint="eastAsia"/>
          <w:sz w:val="24"/>
          <w:szCs w:val="24"/>
        </w:rPr>
        <w:t>和私募基金）、公司</w:t>
      </w:r>
      <w:r w:rsidRPr="00A861AC">
        <w:rPr>
          <w:rFonts w:ascii="宋体" w:hAnsi="宋体"/>
          <w:sz w:val="24"/>
          <w:szCs w:val="24"/>
        </w:rPr>
        <w:t>/企业等行使出资人/投资者权利（包括但不</w:t>
      </w:r>
      <w:r w:rsidRPr="00A861AC">
        <w:rPr>
          <w:rFonts w:ascii="宋体" w:hAnsi="宋体"/>
          <w:sz w:val="24"/>
          <w:szCs w:val="24"/>
        </w:rPr>
        <w:lastRenderedPageBreak/>
        <w:t xml:space="preserve">限于表决投票的权利）以及行使因理财产品财产投资于证券类基础资产（含债券）或其他基础资产（包括但不限于债权类资产）所产生的相关权利。 </w:t>
      </w:r>
    </w:p>
    <w:p w14:paraId="4E9E0D7D" w14:textId="77777777" w:rsidR="00C871EC" w:rsidRPr="00A861AC" w:rsidRDefault="00465C6C" w:rsidP="00465C6C">
      <w:pPr>
        <w:spacing w:line="276" w:lineRule="auto"/>
        <w:ind w:firstLineChars="200" w:firstLine="480"/>
        <w:rPr>
          <w:rFonts w:ascii="宋体" w:hAnsi="宋体"/>
          <w:sz w:val="24"/>
          <w:szCs w:val="24"/>
        </w:rPr>
      </w:pPr>
      <w:r w:rsidRPr="00A861AC">
        <w:rPr>
          <w:rFonts w:ascii="宋体" w:hAnsi="宋体"/>
          <w:sz w:val="24"/>
          <w:szCs w:val="24"/>
        </w:rPr>
        <w:t xml:space="preserve">2. </w:t>
      </w:r>
      <w:r w:rsidRPr="00A861AC">
        <w:rPr>
          <w:rFonts w:ascii="宋体" w:hAnsi="宋体" w:hint="eastAsia"/>
          <w:sz w:val="24"/>
          <w:szCs w:val="24"/>
        </w:rPr>
        <w:t>以理财产品投资管理人的名义，依照法律法规相关规定以及代表理财产品份额持有人的利益行使代为追索的权利（包括但不限于提起诉讼</w:t>
      </w:r>
      <w:r w:rsidRPr="00A861AC">
        <w:rPr>
          <w:rFonts w:ascii="宋体" w:hAnsi="宋体"/>
          <w:sz w:val="24"/>
          <w:szCs w:val="24"/>
        </w:rPr>
        <w:t>/仲裁、申请保全/执行的权利）或者实施其他法律行为。</w:t>
      </w:r>
    </w:p>
    <w:p w14:paraId="2078499B" w14:textId="1F274031" w:rsidR="00C871EC" w:rsidRPr="00156B89" w:rsidRDefault="00C871EC" w:rsidP="00156B89">
      <w:pPr>
        <w:pStyle w:val="2"/>
        <w:ind w:left="872"/>
        <w:rPr>
          <w:b w:val="0"/>
          <w:bCs w:val="0"/>
        </w:rPr>
      </w:pPr>
      <w:r w:rsidRPr="00156B89">
        <w:rPr>
          <w:rFonts w:hint="eastAsia"/>
        </w:rPr>
        <w:t>托管人</w:t>
      </w:r>
    </w:p>
    <w:p w14:paraId="39F9BFFA" w14:textId="3FD64BE0" w:rsidR="007F6BDB" w:rsidRPr="00A861AC" w:rsidRDefault="00370BC7" w:rsidP="00663B4C">
      <w:pPr>
        <w:spacing w:line="276" w:lineRule="auto"/>
        <w:ind w:firstLineChars="200" w:firstLine="480"/>
        <w:rPr>
          <w:rFonts w:ascii="宋体" w:hAnsi="宋体"/>
          <w:sz w:val="24"/>
          <w:szCs w:val="24"/>
        </w:rPr>
      </w:pPr>
      <w:r w:rsidRPr="00A861AC">
        <w:rPr>
          <w:rFonts w:ascii="宋体" w:hAnsi="宋体" w:hint="eastAsia"/>
          <w:sz w:val="24"/>
          <w:szCs w:val="24"/>
        </w:rPr>
        <w:t>本理财产品托管人为广州农村商业银行股份有限公司，负责提供包括账户开立、资金保管、资金清算、估值核算等理财产品托管服务。</w:t>
      </w:r>
    </w:p>
    <w:p w14:paraId="12C197E8" w14:textId="1B29B36F" w:rsidR="00C871EC" w:rsidRPr="00156B89" w:rsidRDefault="00C871EC" w:rsidP="00156B89">
      <w:pPr>
        <w:pStyle w:val="2"/>
        <w:ind w:left="872"/>
        <w:rPr>
          <w:b w:val="0"/>
          <w:bCs w:val="0"/>
        </w:rPr>
      </w:pPr>
      <w:r w:rsidRPr="00156B89">
        <w:rPr>
          <w:rFonts w:hint="eastAsia"/>
        </w:rPr>
        <w:t>理财产品份额净值的计算</w:t>
      </w:r>
    </w:p>
    <w:p w14:paraId="27ED5648"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理财份额净值指</w:t>
      </w:r>
      <w:r w:rsidRPr="00A861AC">
        <w:rPr>
          <w:rFonts w:ascii="宋体" w:hAnsi="宋体"/>
          <w:sz w:val="24"/>
          <w:szCs w:val="24"/>
        </w:rPr>
        <w:t>1份理财产品份额以人民币计价的价格。</w:t>
      </w:r>
    </w:p>
    <w:p w14:paraId="5713C812"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理财产品份额净值＝</w:t>
      </w:r>
      <w:r w:rsidRPr="00A861AC">
        <w:rPr>
          <w:rFonts w:ascii="宋体" w:hAnsi="宋体"/>
          <w:sz w:val="24"/>
          <w:szCs w:val="24"/>
        </w:rPr>
        <w:t>[</w:t>
      </w:r>
      <w:r w:rsidRPr="00A861AC">
        <w:rPr>
          <w:rFonts w:ascii="宋体" w:hAnsi="宋体" w:hint="eastAsia"/>
          <w:sz w:val="24"/>
          <w:szCs w:val="24"/>
        </w:rPr>
        <w:t>理财产品总财产－理财产品应承担的费用</w:t>
      </w:r>
      <w:r w:rsidRPr="00A861AC">
        <w:rPr>
          <w:rFonts w:ascii="宋体" w:hAnsi="宋体"/>
          <w:sz w:val="24"/>
          <w:szCs w:val="24"/>
        </w:rPr>
        <w:t>-</w:t>
      </w:r>
      <w:r w:rsidRPr="00A861AC">
        <w:rPr>
          <w:rFonts w:ascii="宋体" w:hAnsi="宋体" w:hint="eastAsia"/>
          <w:sz w:val="24"/>
          <w:szCs w:val="24"/>
        </w:rPr>
        <w:t>理财产品应承担的税费（如有）</w:t>
      </w:r>
      <w:r w:rsidRPr="00A861AC">
        <w:rPr>
          <w:rFonts w:ascii="宋体" w:hAnsi="宋体"/>
          <w:sz w:val="24"/>
          <w:szCs w:val="24"/>
        </w:rPr>
        <w:t>]</w:t>
      </w:r>
      <w:r w:rsidRPr="00A861AC">
        <w:rPr>
          <w:rFonts w:ascii="宋体" w:hAnsi="宋体" w:hint="eastAsia"/>
          <w:sz w:val="24"/>
          <w:szCs w:val="24"/>
        </w:rPr>
        <w:t>÷估值日理财计划总份额。</w:t>
      </w:r>
    </w:p>
    <w:p w14:paraId="2CEF320F"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sz w:val="24"/>
          <w:szCs w:val="24"/>
        </w:rPr>
        <w:t>份额累计净值=份额单位净值+成立日后历次累计单位收益分配。</w:t>
      </w:r>
    </w:p>
    <w:p w14:paraId="6F6022EB" w14:textId="77777777" w:rsidR="00370BC7" w:rsidRPr="00A861AC" w:rsidRDefault="00370BC7" w:rsidP="000D71E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投资者按该份额净值进行申购、赎回和终止</w:t>
      </w:r>
      <w:r w:rsidRPr="00A861AC">
        <w:rPr>
          <w:rFonts w:ascii="宋体" w:hAnsi="宋体"/>
          <w:sz w:val="24"/>
          <w:szCs w:val="24"/>
        </w:rPr>
        <w:t>/提前终止。</w:t>
      </w:r>
    </w:p>
    <w:p w14:paraId="5628776C" w14:textId="29D561BF" w:rsidR="00370BC7" w:rsidRPr="00156B89" w:rsidRDefault="00370BC7" w:rsidP="00156B89">
      <w:pPr>
        <w:pStyle w:val="2"/>
        <w:ind w:left="872"/>
        <w:rPr>
          <w:b w:val="0"/>
        </w:rPr>
      </w:pPr>
      <w:r w:rsidRPr="00156B89">
        <w:rPr>
          <w:rFonts w:hint="eastAsia"/>
        </w:rPr>
        <w:t>产品收益测算</w:t>
      </w:r>
    </w:p>
    <w:p w14:paraId="697A535B" w14:textId="7A13AD9B" w:rsidR="00370BC7" w:rsidRPr="00156B89" w:rsidRDefault="005A5024"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（一）</w:t>
      </w:r>
      <w:r w:rsidR="00370BC7" w:rsidRPr="00156B89">
        <w:rPr>
          <w:rFonts w:ascii="宋体" w:hAnsi="宋体" w:cs="宋体"/>
          <w:b/>
          <w:bCs/>
          <w:color w:val="000000"/>
          <w:kern w:val="0"/>
          <w:sz w:val="24"/>
          <w:szCs w:val="24"/>
          <w:bdr w:val="none" w:sz="0" w:space="0" w:color="auto" w:frame="1"/>
        </w:rPr>
        <w:t>客户收益计算公式</w:t>
      </w:r>
    </w:p>
    <w:p w14:paraId="14DCC432" w14:textId="77777777" w:rsidR="00370BC7" w:rsidRPr="00A861AC" w:rsidRDefault="00370BC7" w:rsidP="00663B4C">
      <w:pPr>
        <w:autoSpaceDE w:val="0"/>
        <w:autoSpaceDN w:val="0"/>
        <w:adjustRightInd w:val="0"/>
        <w:spacing w:line="276" w:lineRule="auto"/>
        <w:ind w:firstLineChars="200" w:firstLine="480"/>
        <w:rPr>
          <w:rFonts w:ascii="宋体" w:hAnsi="宋体"/>
          <w:sz w:val="24"/>
          <w:szCs w:val="24"/>
        </w:rPr>
      </w:pPr>
      <w:r w:rsidRPr="00A861AC">
        <w:rPr>
          <w:rFonts w:ascii="宋体" w:hAnsi="宋体" w:hint="eastAsia"/>
          <w:sz w:val="24"/>
          <w:szCs w:val="24"/>
        </w:rPr>
        <w:t>客户获得的实际理财收益＝投资份额×（到期单位份额净值</w:t>
      </w:r>
      <w:r w:rsidRPr="00A861AC">
        <w:rPr>
          <w:rFonts w:ascii="宋体" w:hAnsi="宋体"/>
          <w:sz w:val="24"/>
          <w:szCs w:val="24"/>
        </w:rPr>
        <w:t>-初始份额累计净值）</w:t>
      </w:r>
    </w:p>
    <w:p w14:paraId="745F687C" w14:textId="2FDFB018" w:rsidR="00370BC7"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370BC7" w:rsidRPr="00156B89">
        <w:rPr>
          <w:rFonts w:ascii="宋体" w:hAnsi="宋体" w:cs="宋体"/>
          <w:b/>
          <w:bCs/>
          <w:color w:val="000000"/>
          <w:kern w:val="0"/>
          <w:sz w:val="24"/>
          <w:szCs w:val="24"/>
          <w:bdr w:val="none" w:sz="0" w:space="0" w:color="auto" w:frame="1"/>
        </w:rPr>
        <w:t>同类产品参考业绩比较基准</w:t>
      </w:r>
    </w:p>
    <w:p w14:paraId="4608E460" w14:textId="77777777" w:rsidR="007E09BE"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根据过往投资经验，结合近期债券等资产投资收益和波动水平，在产品说明书约定的投资范围和投资比例内，综合考虑收取的费用情况，模拟测算得出业绩比较基准。本行提醒投资者关注，本产品为净值型理财产品，业绩比较基准不是预期收益率，不代表产品的未来表现和实际收益，</w:t>
      </w:r>
      <w:r w:rsidR="007E09BE" w:rsidRPr="00A861AC">
        <w:rPr>
          <w:rFonts w:ascii="宋体" w:hAnsi="宋体" w:hint="eastAsia"/>
          <w:sz w:val="24"/>
          <w:szCs w:val="24"/>
        </w:rPr>
        <w:t>仅作为产品投资管理的业绩目标，并用于计算管理费用，</w:t>
      </w:r>
      <w:r w:rsidR="007E09BE" w:rsidRPr="007E09BE">
        <w:rPr>
          <w:rFonts w:ascii="宋体" w:hAnsi="宋体" w:hint="eastAsia"/>
          <w:sz w:val="24"/>
          <w:szCs w:val="24"/>
        </w:rPr>
        <w:t>不构成对本理财产品的任何收益承诺或担保</w:t>
      </w:r>
      <w:r w:rsidR="007E09BE" w:rsidRPr="007E09BE">
        <w:rPr>
          <w:rFonts w:ascii="宋体" w:hAnsi="宋体"/>
          <w:sz w:val="24"/>
          <w:szCs w:val="24"/>
        </w:rPr>
        <w:t>,</w:t>
      </w:r>
      <w:r w:rsidR="00E400FC" w:rsidRPr="007E09BE">
        <w:rPr>
          <w:rFonts w:ascii="宋体" w:hAnsi="宋体" w:hint="eastAsia"/>
          <w:sz w:val="24"/>
          <w:szCs w:val="24"/>
        </w:rPr>
        <w:t>客户的实际收益由产品到期日的净值决定</w:t>
      </w:r>
      <w:r w:rsidRPr="00E30832">
        <w:rPr>
          <w:rFonts w:ascii="宋体" w:hAnsi="宋体" w:hint="eastAsia"/>
          <w:sz w:val="24"/>
          <w:szCs w:val="24"/>
        </w:rPr>
        <w:t>。</w:t>
      </w:r>
      <w:r w:rsidR="007E09BE">
        <w:rPr>
          <w:rFonts w:ascii="宋体" w:hAnsi="宋体" w:hint="eastAsia"/>
          <w:sz w:val="24"/>
          <w:szCs w:val="24"/>
        </w:rPr>
        <w:t>我</w:t>
      </w:r>
      <w:r w:rsidR="007E09BE" w:rsidRPr="00A861AC">
        <w:rPr>
          <w:rFonts w:ascii="宋体" w:hAnsi="宋体" w:hint="eastAsia"/>
          <w:sz w:val="24"/>
          <w:szCs w:val="24"/>
        </w:rPr>
        <w:t>行不负责代扣代缴投资者购买本产品的所得税款。</w:t>
      </w:r>
    </w:p>
    <w:p w14:paraId="337365B5" w14:textId="303395DC" w:rsidR="00E44746" w:rsidRPr="00E30832" w:rsidRDefault="00E44746" w:rsidP="00E30832">
      <w:pPr>
        <w:autoSpaceDE w:val="0"/>
        <w:autoSpaceDN w:val="0"/>
        <w:adjustRightInd w:val="0"/>
        <w:spacing w:line="276" w:lineRule="auto"/>
        <w:ind w:firstLineChars="200" w:firstLine="480"/>
        <w:rPr>
          <w:rFonts w:ascii="宋体" w:hAnsi="宋体"/>
          <w:sz w:val="24"/>
          <w:szCs w:val="24"/>
        </w:rPr>
      </w:pPr>
      <w:r w:rsidRPr="00E30832">
        <w:rPr>
          <w:rFonts w:ascii="宋体" w:hAnsi="宋体" w:hint="eastAsia"/>
          <w:sz w:val="24"/>
          <w:szCs w:val="24"/>
        </w:rPr>
        <w:t>管理人有权根据市场情况及理财运作情况对业绩比较基准进行适当调整，如有调整，将通过我行官方网站公布调整方案。</w:t>
      </w:r>
    </w:p>
    <w:p w14:paraId="14E860BE"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7E09BE">
        <w:rPr>
          <w:rFonts w:ascii="宋体" w:hAnsi="宋体" w:cs="宋体" w:hint="eastAsia"/>
          <w:b/>
          <w:bCs/>
          <w:color w:val="000000"/>
          <w:kern w:val="0"/>
          <w:sz w:val="24"/>
          <w:szCs w:val="24"/>
          <w:bdr w:val="none" w:sz="0" w:space="0" w:color="auto" w:frame="1"/>
        </w:rPr>
        <w:t>（三）计算示例</w:t>
      </w:r>
    </w:p>
    <w:p w14:paraId="31D40455"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以某个客户投资认购</w:t>
      </w:r>
      <w:r w:rsidRPr="00A861AC">
        <w:rPr>
          <w:rFonts w:ascii="宋体" w:hAnsi="宋体"/>
          <w:sz w:val="24"/>
          <w:szCs w:val="24"/>
        </w:rPr>
        <w:t xml:space="preserve"> 100 </w:t>
      </w:r>
      <w:r w:rsidRPr="00A861AC">
        <w:rPr>
          <w:rFonts w:ascii="宋体" w:hAnsi="宋体" w:hint="eastAsia"/>
          <w:sz w:val="24"/>
          <w:szCs w:val="24"/>
        </w:rPr>
        <w:t>万份本理财产品（期初净值为</w:t>
      </w:r>
      <w:r w:rsidRPr="00A861AC">
        <w:rPr>
          <w:rFonts w:ascii="宋体" w:hAnsi="宋体"/>
          <w:sz w:val="24"/>
          <w:szCs w:val="24"/>
        </w:rPr>
        <w:t>1）为例，假设客户持有180天后赎回，赎回开放日公布的单位净值为 1.0216（已扣除销售费、固定管理费、估值核算费、托管费等费用），每单位份额收益为1.0216-1=0.0216，经换算后周</w:t>
      </w:r>
      <w:proofErr w:type="gramStart"/>
      <w:r w:rsidRPr="00A861AC">
        <w:rPr>
          <w:rFonts w:ascii="宋体" w:hAnsi="宋体" w:hint="eastAsia"/>
          <w:sz w:val="24"/>
          <w:szCs w:val="24"/>
        </w:rPr>
        <w:t>期年化</w:t>
      </w:r>
      <w:proofErr w:type="gramEnd"/>
      <w:r w:rsidRPr="00A861AC">
        <w:rPr>
          <w:rFonts w:ascii="宋体" w:hAnsi="宋体" w:hint="eastAsia"/>
          <w:sz w:val="24"/>
          <w:szCs w:val="24"/>
        </w:rPr>
        <w:t>收益率约为</w:t>
      </w:r>
      <w:r w:rsidRPr="00A861AC">
        <w:rPr>
          <w:rFonts w:ascii="宋体" w:hAnsi="宋体"/>
          <w:sz w:val="24"/>
          <w:szCs w:val="24"/>
        </w:rPr>
        <w:t>4.38%</w:t>
      </w:r>
      <w:r w:rsidR="0076466C" w:rsidRPr="00A861AC">
        <w:rPr>
          <w:rFonts w:ascii="宋体" w:hAnsi="宋体" w:hint="eastAsia"/>
          <w:sz w:val="24"/>
          <w:szCs w:val="24"/>
        </w:rPr>
        <w:t>（</w:t>
      </w:r>
      <w:r w:rsidR="0076466C" w:rsidRPr="00A861AC">
        <w:rPr>
          <w:rFonts w:ascii="宋体" w:hAnsi="宋体"/>
          <w:sz w:val="24"/>
          <w:szCs w:val="24"/>
        </w:rPr>
        <w:t>0.0216/180*365=4.38%）</w:t>
      </w:r>
      <w:r w:rsidRPr="00A861AC">
        <w:rPr>
          <w:rFonts w:ascii="宋体" w:hAnsi="宋体" w:hint="eastAsia"/>
          <w:sz w:val="24"/>
          <w:szCs w:val="24"/>
        </w:rPr>
        <w:t>。</w:t>
      </w:r>
    </w:p>
    <w:p w14:paraId="2DB70A45" w14:textId="7979EB5F"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w:t>
      </w:r>
      <w:r w:rsidR="004B09DD" w:rsidRPr="00A861AC">
        <w:rPr>
          <w:rFonts w:ascii="宋体" w:hAnsi="宋体" w:hint="eastAsia"/>
          <w:color w:val="000000" w:themeColor="text1"/>
          <w:sz w:val="24"/>
          <w:szCs w:val="24"/>
        </w:rPr>
        <w:t>区间上限</w:t>
      </w:r>
      <w:r w:rsidRPr="00A861AC">
        <w:rPr>
          <w:rFonts w:ascii="宋体" w:hAnsi="宋体" w:hint="eastAsia"/>
          <w:color w:val="000000" w:themeColor="text1"/>
          <w:sz w:val="24"/>
          <w:szCs w:val="24"/>
        </w:rPr>
        <w:t>为</w:t>
      </w:r>
      <w:r w:rsidR="00345AC0">
        <w:rPr>
          <w:rFonts w:ascii="宋体" w:hAnsi="宋体"/>
          <w:color w:val="000000" w:themeColor="text1"/>
          <w:sz w:val="24"/>
          <w:szCs w:val="24"/>
        </w:rPr>
        <w:t>2.5</w:t>
      </w:r>
      <w:r w:rsidRPr="00A861AC">
        <w:rPr>
          <w:rFonts w:ascii="宋体" w:hAnsi="宋体"/>
          <w:color w:val="000000" w:themeColor="text1"/>
          <w:sz w:val="24"/>
          <w:szCs w:val="24"/>
        </w:rPr>
        <w:t>%，则收取浮动管理费率I=(4.38%-</w:t>
      </w:r>
      <w:r w:rsidR="00345AC0">
        <w:rPr>
          <w:rFonts w:ascii="宋体" w:hAnsi="宋体"/>
          <w:color w:val="000000" w:themeColor="text1"/>
          <w:sz w:val="24"/>
          <w:szCs w:val="24"/>
        </w:rPr>
        <w:t>2.5</w:t>
      </w:r>
      <w:r w:rsidRPr="00A861AC">
        <w:rPr>
          <w:rFonts w:ascii="宋体" w:hAnsi="宋体"/>
          <w:color w:val="000000" w:themeColor="text1"/>
          <w:sz w:val="24"/>
          <w:szCs w:val="24"/>
        </w:rPr>
        <w:t xml:space="preserve">%) </w:t>
      </w:r>
      <w:r w:rsidRPr="00A861AC">
        <w:rPr>
          <w:rFonts w:ascii="宋体" w:hAnsi="宋体" w:hint="eastAsia"/>
          <w:sz w:val="24"/>
          <w:szCs w:val="24"/>
        </w:rPr>
        <w:t>×</w:t>
      </w:r>
      <w:r w:rsidR="004B09DD" w:rsidRPr="00A861AC">
        <w:rPr>
          <w:rFonts w:ascii="宋体" w:hAnsi="宋体"/>
          <w:color w:val="000000" w:themeColor="text1"/>
          <w:sz w:val="24"/>
          <w:szCs w:val="24"/>
        </w:rPr>
        <w:t>90%=</w:t>
      </w:r>
      <w:r w:rsidR="00345AC0">
        <w:rPr>
          <w:rFonts w:ascii="宋体" w:hAnsi="宋体"/>
          <w:color w:val="000000" w:themeColor="text1"/>
          <w:sz w:val="24"/>
          <w:szCs w:val="24"/>
        </w:rPr>
        <w:t>2.13</w:t>
      </w:r>
      <w:r w:rsidR="004B09DD" w:rsidRPr="00A861AC">
        <w:rPr>
          <w:rFonts w:ascii="宋体" w:hAnsi="宋体"/>
          <w:color w:val="000000" w:themeColor="text1"/>
          <w:sz w:val="24"/>
          <w:szCs w:val="24"/>
        </w:rPr>
        <w:t>%，则客户实际到</w:t>
      </w:r>
      <w:proofErr w:type="gramStart"/>
      <w:r w:rsidR="004B09DD" w:rsidRPr="00A861AC">
        <w:rPr>
          <w:rFonts w:ascii="宋体" w:hAnsi="宋体" w:hint="eastAsia"/>
          <w:color w:val="000000" w:themeColor="text1"/>
          <w:sz w:val="24"/>
          <w:szCs w:val="24"/>
        </w:rPr>
        <w:t>期年化</w:t>
      </w:r>
      <w:proofErr w:type="gramEnd"/>
      <w:r w:rsidR="004B09DD" w:rsidRPr="00A861AC">
        <w:rPr>
          <w:rFonts w:ascii="宋体" w:hAnsi="宋体" w:hint="eastAsia"/>
          <w:color w:val="000000" w:themeColor="text1"/>
          <w:sz w:val="24"/>
          <w:szCs w:val="24"/>
        </w:rPr>
        <w:t>收益率约为</w:t>
      </w:r>
      <w:r w:rsidR="00345AC0">
        <w:rPr>
          <w:rFonts w:ascii="宋体" w:hAnsi="宋体"/>
          <w:color w:val="000000" w:themeColor="text1"/>
          <w:sz w:val="24"/>
          <w:szCs w:val="24"/>
        </w:rPr>
        <w:t>2.25</w:t>
      </w:r>
      <w:r w:rsidR="004B09DD" w:rsidRPr="00A861AC">
        <w:rPr>
          <w:rFonts w:ascii="宋体" w:hAnsi="宋体"/>
          <w:color w:val="000000" w:themeColor="text1"/>
          <w:sz w:val="24"/>
          <w:szCs w:val="24"/>
        </w:rPr>
        <w:t>%。</w:t>
      </w:r>
    </w:p>
    <w:p w14:paraId="6211C74A" w14:textId="77777777" w:rsidR="00370BC7" w:rsidRPr="00A861AC" w:rsidRDefault="00370BC7" w:rsidP="00370BC7">
      <w:pPr>
        <w:ind w:firstLineChars="200" w:firstLine="480"/>
        <w:rPr>
          <w:rFonts w:ascii="宋体" w:hAnsi="宋体"/>
          <w:color w:val="000000" w:themeColor="text1"/>
          <w:sz w:val="24"/>
          <w:szCs w:val="24"/>
        </w:rPr>
      </w:pPr>
      <w:r w:rsidRPr="00A861AC">
        <w:rPr>
          <w:rFonts w:ascii="宋体" w:hAnsi="宋体" w:hint="eastAsia"/>
          <w:color w:val="000000" w:themeColor="text1"/>
          <w:sz w:val="24"/>
          <w:szCs w:val="24"/>
        </w:rPr>
        <w:t>若同类产品参考业绩比较基准为</w:t>
      </w:r>
      <w:r w:rsidRPr="00A861AC">
        <w:rPr>
          <w:rFonts w:ascii="宋体" w:hAnsi="宋体"/>
          <w:color w:val="000000" w:themeColor="text1"/>
          <w:sz w:val="24"/>
          <w:szCs w:val="24"/>
        </w:rPr>
        <w:t>4.4%，则不收取浮动管理费，客户实际到</w:t>
      </w:r>
      <w:proofErr w:type="gramStart"/>
      <w:r w:rsidRPr="00A861AC">
        <w:rPr>
          <w:rFonts w:ascii="宋体" w:hAnsi="宋体" w:hint="eastAsia"/>
          <w:color w:val="000000" w:themeColor="text1"/>
          <w:sz w:val="24"/>
          <w:szCs w:val="24"/>
        </w:rPr>
        <w:t>期年化</w:t>
      </w:r>
      <w:proofErr w:type="gramEnd"/>
      <w:r w:rsidRPr="00A861AC">
        <w:rPr>
          <w:rFonts w:ascii="宋体" w:hAnsi="宋体" w:hint="eastAsia"/>
          <w:color w:val="000000" w:themeColor="text1"/>
          <w:sz w:val="24"/>
          <w:szCs w:val="24"/>
        </w:rPr>
        <w:t>收益率约为</w:t>
      </w:r>
      <w:r w:rsidRPr="00A861AC">
        <w:rPr>
          <w:rFonts w:ascii="宋体" w:hAnsi="宋体"/>
          <w:color w:val="000000" w:themeColor="text1"/>
          <w:sz w:val="24"/>
          <w:szCs w:val="24"/>
        </w:rPr>
        <w:t>4.38%。</w:t>
      </w:r>
      <w:bookmarkStart w:id="0" w:name="_GoBack"/>
      <w:bookmarkEnd w:id="0"/>
    </w:p>
    <w:p w14:paraId="5F1753FF" w14:textId="77777777" w:rsidR="00370BC7" w:rsidRPr="00156B89" w:rsidRDefault="00370BC7"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（四）风险示例</w:t>
      </w:r>
    </w:p>
    <w:p w14:paraId="1CFE4FFB" w14:textId="77777777" w:rsidR="00370BC7" w:rsidRPr="00A861AC" w:rsidRDefault="00370BC7" w:rsidP="00370BC7">
      <w:pPr>
        <w:spacing w:line="300" w:lineRule="exact"/>
        <w:ind w:firstLineChars="200" w:firstLine="480"/>
        <w:rPr>
          <w:rFonts w:ascii="宋体" w:hAnsi="宋体"/>
          <w:sz w:val="24"/>
          <w:szCs w:val="24"/>
        </w:rPr>
      </w:pPr>
      <w:r w:rsidRPr="00A861AC">
        <w:rPr>
          <w:rFonts w:ascii="宋体" w:hAnsi="宋体" w:hint="eastAsia"/>
          <w:sz w:val="24"/>
          <w:szCs w:val="24"/>
        </w:rPr>
        <w:t>本理财产品参考业绩比较基准不等于理财产品实际收益，不构成对投资收益的承诺或担保；产品过往业绩不代表其未来表现，不等于理财产品实际收益，投资须谨慎。投资组合可</w:t>
      </w:r>
      <w:r w:rsidRPr="00A861AC">
        <w:rPr>
          <w:rFonts w:ascii="宋体" w:hAnsi="宋体" w:hint="eastAsia"/>
          <w:sz w:val="24"/>
          <w:szCs w:val="24"/>
        </w:rPr>
        <w:lastRenderedPageBreak/>
        <w:t>能发生损失，在最不利的情况下，投资者甚至可能损失全部本金。</w:t>
      </w:r>
    </w:p>
    <w:p w14:paraId="634F0AB3" w14:textId="4A7BE110" w:rsidR="00370BC7" w:rsidRPr="00156B89" w:rsidRDefault="00370BC7" w:rsidP="00156B89">
      <w:pPr>
        <w:pStyle w:val="2"/>
        <w:ind w:left="872"/>
        <w:rPr>
          <w:b w:val="0"/>
          <w:bCs w:val="0"/>
        </w:rPr>
      </w:pPr>
      <w:r w:rsidRPr="00156B89">
        <w:rPr>
          <w:rFonts w:hint="eastAsia"/>
        </w:rPr>
        <w:t>产品费用说明</w:t>
      </w:r>
    </w:p>
    <w:p w14:paraId="6A5A6FE8" w14:textId="01031482"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本产品的费用包括托管费、销售费、固定管理费、估值核算费、浮动管理费，以及按照国家规定可以列入的其他费用。管理人因管理、运营理财产品发生的税费由产品资产承担。法律法规另有规定时从其规定。</w:t>
      </w:r>
    </w:p>
    <w:p w14:paraId="7B7EBF70" w14:textId="6A25A686"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w:t>
      </w:r>
      <w:r w:rsidR="00596D4A" w:rsidRPr="00156B89">
        <w:rPr>
          <w:rFonts w:ascii="宋体" w:hAnsi="宋体" w:cs="宋体"/>
          <w:b/>
          <w:bCs/>
          <w:color w:val="000000"/>
          <w:kern w:val="0"/>
          <w:sz w:val="24"/>
          <w:szCs w:val="24"/>
          <w:bdr w:val="none" w:sz="0" w:space="0" w:color="auto" w:frame="1"/>
        </w:rPr>
        <w:t>托管费</w:t>
      </w:r>
    </w:p>
    <w:p w14:paraId="2A84134A" w14:textId="3CEA16F0"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托管费每日按照前一自然日理财产品资产净值为基数计提，即每日计提托管费=前一自然日理财产品资产净值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托管费率</w:t>
      </w:r>
      <w:r w:rsidRPr="00A861AC">
        <w:rPr>
          <w:rFonts w:ascii="宋体" w:hAnsi="宋体" w:hint="eastAsia"/>
          <w:sz w:val="24"/>
          <w:szCs w:val="24"/>
        </w:rPr>
        <w:t>÷</w:t>
      </w:r>
      <w:r w:rsidRPr="00A861AC">
        <w:rPr>
          <w:rFonts w:ascii="宋体" w:hAnsi="宋体" w:cs="宋体"/>
          <w:kern w:val="0"/>
          <w:sz w:val="24"/>
          <w:szCs w:val="24"/>
        </w:rPr>
        <w:t>365。</w:t>
      </w:r>
    </w:p>
    <w:p w14:paraId="09FEDCCD" w14:textId="48A29025"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w:t>
      </w:r>
      <w:r w:rsidR="00596D4A" w:rsidRPr="00156B89">
        <w:rPr>
          <w:rFonts w:ascii="宋体" w:hAnsi="宋体" w:cs="宋体"/>
          <w:b/>
          <w:bCs/>
          <w:color w:val="000000"/>
          <w:kern w:val="0"/>
          <w:sz w:val="24"/>
          <w:szCs w:val="24"/>
          <w:bdr w:val="none" w:sz="0" w:space="0" w:color="auto" w:frame="1"/>
        </w:rPr>
        <w:t>销售费</w:t>
      </w:r>
    </w:p>
    <w:p w14:paraId="27E4C8F6" w14:textId="171B364D"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销售费每日按照前一自然日理财产品资产净值为基数计提，即每日计提销售费=前一自然日理财产品资产净值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销售费率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4AFFAF94" w14:textId="26805282"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w:t>
      </w:r>
      <w:r w:rsidR="00596D4A" w:rsidRPr="00156B89">
        <w:rPr>
          <w:rFonts w:ascii="宋体" w:hAnsi="宋体" w:cs="宋体"/>
          <w:b/>
          <w:bCs/>
          <w:color w:val="000000"/>
          <w:kern w:val="0"/>
          <w:sz w:val="24"/>
          <w:szCs w:val="24"/>
          <w:bdr w:val="none" w:sz="0" w:space="0" w:color="auto" w:frame="1"/>
        </w:rPr>
        <w:t>固定管理费</w:t>
      </w:r>
    </w:p>
    <w:p w14:paraId="0EFE5F5C" w14:textId="7D734A8B" w:rsidR="00596D4A" w:rsidRPr="00A861AC" w:rsidRDefault="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固定管理费按照前一自然日理财产品资产净值为基数计提，即每日计提固定管理费=前一自然日理财产品资产净值</w:t>
      </w:r>
      <w:r w:rsidRPr="00156B89">
        <w:rPr>
          <w:rFonts w:ascii="宋体" w:hAnsi="宋体" w:cs="宋体" w:hint="eastAsia"/>
          <w:kern w:val="0"/>
          <w:sz w:val="24"/>
          <w:szCs w:val="24"/>
        </w:rPr>
        <w:t>×</w:t>
      </w:r>
      <w:r w:rsidRPr="00A861AC">
        <w:rPr>
          <w:rFonts w:ascii="宋体" w:hAnsi="宋体" w:cs="宋体" w:hint="eastAsia"/>
          <w:kern w:val="0"/>
          <w:sz w:val="24"/>
          <w:szCs w:val="24"/>
        </w:rPr>
        <w:t>固定管理费率</w:t>
      </w:r>
      <w:r w:rsidRPr="00156B89">
        <w:rPr>
          <w:rFonts w:ascii="宋体" w:hAnsi="宋体" w:cs="宋体" w:hint="eastAsia"/>
          <w:kern w:val="0"/>
          <w:sz w:val="24"/>
          <w:szCs w:val="24"/>
        </w:rPr>
        <w:t>÷</w:t>
      </w:r>
      <w:r w:rsidRPr="00A861AC">
        <w:rPr>
          <w:rFonts w:ascii="宋体" w:hAnsi="宋体" w:cs="宋体"/>
          <w:kern w:val="0"/>
          <w:sz w:val="24"/>
          <w:szCs w:val="24"/>
        </w:rPr>
        <w:t>365。</w:t>
      </w:r>
    </w:p>
    <w:p w14:paraId="0192CD7E" w14:textId="044839A3" w:rsidR="005A5024" w:rsidRPr="00156B89" w:rsidRDefault="005A5024"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w:t>
      </w:r>
      <w:r w:rsidR="00596D4A" w:rsidRPr="00156B89">
        <w:rPr>
          <w:rFonts w:ascii="宋体" w:hAnsi="宋体" w:cs="宋体"/>
          <w:b/>
          <w:bCs/>
          <w:color w:val="000000"/>
          <w:kern w:val="0"/>
          <w:sz w:val="24"/>
          <w:szCs w:val="24"/>
          <w:bdr w:val="none" w:sz="0" w:space="0" w:color="auto" w:frame="1"/>
        </w:rPr>
        <w:t>估值核算费</w:t>
      </w:r>
    </w:p>
    <w:p w14:paraId="4F9D05AB" w14:textId="36CD6B1B" w:rsidR="00596D4A" w:rsidRPr="00A861AC" w:rsidRDefault="00596D4A" w:rsidP="00596D4A">
      <w:pPr>
        <w:spacing w:line="276" w:lineRule="auto"/>
        <w:ind w:firstLineChars="200" w:firstLine="480"/>
        <w:rPr>
          <w:rFonts w:ascii="宋体" w:hAnsi="宋体" w:cs="宋体"/>
          <w:kern w:val="0"/>
          <w:sz w:val="24"/>
          <w:szCs w:val="24"/>
        </w:rPr>
      </w:pPr>
      <w:r w:rsidRPr="00A861AC">
        <w:rPr>
          <w:rFonts w:ascii="宋体" w:hAnsi="宋体" w:cs="宋体"/>
          <w:kern w:val="0"/>
          <w:sz w:val="24"/>
          <w:szCs w:val="24"/>
        </w:rPr>
        <w:t>估值核算</w:t>
      </w:r>
      <w:proofErr w:type="gramStart"/>
      <w:r w:rsidRPr="00A861AC">
        <w:rPr>
          <w:rFonts w:ascii="宋体" w:hAnsi="宋体" w:cs="宋体" w:hint="eastAsia"/>
          <w:kern w:val="0"/>
          <w:sz w:val="24"/>
          <w:szCs w:val="24"/>
        </w:rPr>
        <w:t>费按照</w:t>
      </w:r>
      <w:proofErr w:type="gramEnd"/>
      <w:r w:rsidRPr="00A861AC">
        <w:rPr>
          <w:rFonts w:ascii="宋体" w:hAnsi="宋体" w:cs="宋体" w:hint="eastAsia"/>
          <w:kern w:val="0"/>
          <w:sz w:val="24"/>
          <w:szCs w:val="24"/>
        </w:rPr>
        <w:t>前一自然日理财产品资产净值为基数计提，即每日计提估值核算费</w:t>
      </w:r>
      <w:r w:rsidRPr="00A861AC">
        <w:rPr>
          <w:rFonts w:ascii="宋体" w:hAnsi="宋体" w:cs="宋体"/>
          <w:kern w:val="0"/>
          <w:sz w:val="24"/>
          <w:szCs w:val="24"/>
        </w:rPr>
        <w:t>=前一自然日理财产品资产净值</w:t>
      </w:r>
      <w:r w:rsidRPr="00A861AC">
        <w:rPr>
          <w:rFonts w:ascii="宋体" w:hAnsi="宋体" w:hint="eastAsia"/>
          <w:sz w:val="24"/>
          <w:szCs w:val="24"/>
        </w:rPr>
        <w:t>×</w:t>
      </w:r>
      <w:r w:rsidRPr="00A861AC">
        <w:rPr>
          <w:rFonts w:ascii="宋体" w:hAnsi="宋体" w:cs="宋体" w:hint="eastAsia"/>
          <w:kern w:val="0"/>
          <w:sz w:val="24"/>
          <w:szCs w:val="24"/>
        </w:rPr>
        <w:t>估值核算</w:t>
      </w:r>
      <w:r w:rsidR="00C01CB9" w:rsidRPr="00A861AC">
        <w:rPr>
          <w:rFonts w:ascii="宋体" w:hAnsi="宋体" w:cs="宋体" w:hint="eastAsia"/>
          <w:kern w:val="0"/>
          <w:sz w:val="24"/>
          <w:szCs w:val="24"/>
        </w:rPr>
        <w:t>费</w:t>
      </w:r>
      <w:r w:rsidRPr="00A861AC">
        <w:rPr>
          <w:rFonts w:ascii="宋体" w:hAnsi="宋体" w:cs="宋体" w:hint="eastAsia"/>
          <w:kern w:val="0"/>
          <w:sz w:val="24"/>
          <w:szCs w:val="24"/>
        </w:rPr>
        <w:t>率</w:t>
      </w:r>
      <w:r w:rsidRPr="00A861AC">
        <w:rPr>
          <w:rFonts w:ascii="宋体" w:hAnsi="宋体" w:hint="eastAsia"/>
          <w:sz w:val="24"/>
          <w:szCs w:val="24"/>
        </w:rPr>
        <w:t>÷</w:t>
      </w:r>
      <w:r w:rsidRPr="00A861AC">
        <w:rPr>
          <w:rFonts w:ascii="宋体" w:hAnsi="宋体" w:cs="宋体"/>
          <w:kern w:val="0"/>
          <w:sz w:val="24"/>
          <w:szCs w:val="24"/>
        </w:rPr>
        <w:t>365。</w:t>
      </w:r>
    </w:p>
    <w:p w14:paraId="7158940A" w14:textId="6704E5E9" w:rsidR="005A5024" w:rsidRPr="00156B89" w:rsidRDefault="005A5024"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（五）</w:t>
      </w:r>
      <w:r w:rsidR="00370BC7" w:rsidRPr="00156B89">
        <w:rPr>
          <w:rFonts w:ascii="宋体" w:hAnsi="宋体" w:cs="宋体"/>
          <w:b/>
          <w:bCs/>
          <w:color w:val="000000"/>
          <w:kern w:val="0"/>
          <w:sz w:val="24"/>
          <w:szCs w:val="24"/>
          <w:bdr w:val="none" w:sz="0" w:space="0" w:color="auto" w:frame="1"/>
        </w:rPr>
        <w:t>浮动管理费</w:t>
      </w:r>
    </w:p>
    <w:p w14:paraId="55EF4244" w14:textId="1792AF37" w:rsidR="00370BC7" w:rsidRPr="00A861AC" w:rsidRDefault="005C4A5C"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广州农商银行有权收取浮动管理费。浮动管理费在产品存续期内每日暂估，理财产品实际的浮动管理费以开放日计提数额为准。若产品投资组合净值超出同类产品参考业绩比较基准或同类产品参考业绩比较基准区间上限、销售费、固定管理费、估值核算费、托管费等费用之和的部分（如有），管理人将按照投资周期收取浮动管理费，即浮动管理费</w:t>
      </w:r>
      <w:r w:rsidRPr="00A861AC">
        <w:rPr>
          <w:rFonts w:ascii="宋体" w:hAnsi="宋体" w:cs="宋体"/>
          <w:kern w:val="0"/>
          <w:sz w:val="24"/>
          <w:szCs w:val="24"/>
        </w:rPr>
        <w:t>=上个开放日产品累计单位净值×产品份额×周期运作期限×浮动管理费率÷365。</w:t>
      </w:r>
    </w:p>
    <w:p w14:paraId="56CE200A" w14:textId="77777777" w:rsidR="00370BC7" w:rsidRPr="00A861AC" w:rsidRDefault="00370BC7" w:rsidP="000D71E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若理财产品实际收益等于或小于同类产品参考业绩比较基准或同类产品参考业绩比较基准区间上限、销售手续费、管理费、估值核算费、产品托管费等费用之和，广州农商银行则不收取浮动管理费。</w:t>
      </w:r>
    </w:p>
    <w:p w14:paraId="3CB00AB5"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设浮动管理费率为</w:t>
      </w:r>
      <w:r w:rsidRPr="00A861AC">
        <w:rPr>
          <w:rFonts w:ascii="宋体" w:hAnsi="宋体" w:cs="宋体"/>
          <w:kern w:val="0"/>
          <w:sz w:val="24"/>
          <w:szCs w:val="24"/>
        </w:rPr>
        <w:t>I，周期到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收益率为</w:t>
      </w:r>
      <w:r w:rsidRPr="00A861AC">
        <w:rPr>
          <w:rFonts w:ascii="宋体" w:hAnsi="宋体" w:cs="宋体"/>
          <w:kern w:val="0"/>
          <w:sz w:val="24"/>
          <w:szCs w:val="24"/>
        </w:rPr>
        <w:t xml:space="preserve">R，同类产品参考业绩比较基准或同类产品参考业绩比较基准区间上限为r </w:t>
      </w:r>
      <w:r w:rsidRPr="00A861AC">
        <w:rPr>
          <w:rFonts w:ascii="宋体" w:hAnsi="宋体" w:cs="宋体" w:hint="eastAsia"/>
          <w:kern w:val="0"/>
          <w:sz w:val="24"/>
          <w:szCs w:val="24"/>
        </w:rPr>
        <w:t>。其中</w:t>
      </w:r>
      <w:r w:rsidRPr="00A861AC">
        <w:rPr>
          <w:rFonts w:ascii="宋体" w:hAnsi="宋体" w:cs="宋体"/>
          <w:kern w:val="0"/>
          <w:sz w:val="24"/>
          <w:szCs w:val="24"/>
        </w:rPr>
        <w:t>R=(开放日前</w:t>
      </w:r>
      <w:proofErr w:type="gramStart"/>
      <w:r w:rsidRPr="00A861AC">
        <w:rPr>
          <w:rFonts w:ascii="宋体" w:hAnsi="宋体" w:cs="宋体" w:hint="eastAsia"/>
          <w:kern w:val="0"/>
          <w:sz w:val="24"/>
          <w:szCs w:val="24"/>
        </w:rPr>
        <w:t>一</w:t>
      </w:r>
      <w:proofErr w:type="gramEnd"/>
      <w:r w:rsidRPr="00A861AC">
        <w:rPr>
          <w:rFonts w:ascii="宋体" w:hAnsi="宋体" w:cs="宋体" w:hint="eastAsia"/>
          <w:kern w:val="0"/>
          <w:sz w:val="24"/>
          <w:szCs w:val="24"/>
        </w:rPr>
        <w:t>工作日净值</w:t>
      </w:r>
      <w:r w:rsidRPr="00A861AC">
        <w:rPr>
          <w:rFonts w:ascii="宋体" w:hAnsi="宋体" w:cs="宋体"/>
          <w:kern w:val="0"/>
          <w:sz w:val="24"/>
          <w:szCs w:val="24"/>
        </w:rPr>
        <w:t>-上个开放日净值)</w:t>
      </w:r>
      <w:r w:rsidRPr="00A861AC">
        <w:rPr>
          <w:rFonts w:ascii="宋体" w:hAnsi="宋体" w:hint="eastAsia"/>
          <w:sz w:val="24"/>
          <w:szCs w:val="24"/>
        </w:rPr>
        <w:t>÷</w:t>
      </w:r>
      <w:r w:rsidRPr="00A861AC">
        <w:rPr>
          <w:rFonts w:ascii="宋体" w:hAnsi="宋体" w:cs="宋体" w:hint="eastAsia"/>
          <w:kern w:val="0"/>
          <w:sz w:val="24"/>
          <w:szCs w:val="24"/>
        </w:rPr>
        <w:t>上个开放日净值×</w:t>
      </w:r>
      <w:r w:rsidRPr="00A861AC">
        <w:rPr>
          <w:rFonts w:ascii="宋体" w:hAnsi="宋体" w:cs="宋体"/>
          <w:kern w:val="0"/>
          <w:sz w:val="24"/>
          <w:szCs w:val="24"/>
        </w:rPr>
        <w:t>365</w:t>
      </w:r>
      <w:r w:rsidRPr="00A861AC">
        <w:rPr>
          <w:rFonts w:ascii="宋体" w:hAnsi="宋体" w:hint="eastAsia"/>
          <w:sz w:val="24"/>
          <w:szCs w:val="24"/>
        </w:rPr>
        <w:t>÷</w:t>
      </w:r>
      <w:r w:rsidRPr="00A861AC">
        <w:rPr>
          <w:rFonts w:ascii="宋体" w:hAnsi="宋体" w:cs="宋体" w:hint="eastAsia"/>
          <w:kern w:val="0"/>
          <w:sz w:val="24"/>
          <w:szCs w:val="24"/>
        </w:rPr>
        <w:t>周期运作期限。则浮动管理费的收取规则如下：</w:t>
      </w: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61"/>
        <w:gridCol w:w="4261"/>
      </w:tblGrid>
      <w:tr w:rsidR="00370BC7" w:rsidRPr="00A861AC" w14:paraId="41CEB19A" w14:textId="77777777" w:rsidTr="0076466C">
        <w:tc>
          <w:tcPr>
            <w:tcW w:w="4261" w:type="dxa"/>
          </w:tcPr>
          <w:p w14:paraId="48978AE2"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浮动管理费计提前的到</w:t>
            </w:r>
            <w:proofErr w:type="gramStart"/>
            <w:r w:rsidRPr="00A861AC">
              <w:rPr>
                <w:rFonts w:ascii="宋体" w:hAnsi="宋体" w:cs="宋体" w:hint="eastAsia"/>
                <w:kern w:val="0"/>
                <w:sz w:val="24"/>
                <w:szCs w:val="24"/>
              </w:rPr>
              <w:t>期年化</w:t>
            </w:r>
            <w:proofErr w:type="gramEnd"/>
            <w:r w:rsidRPr="00A861AC">
              <w:rPr>
                <w:rFonts w:ascii="宋体" w:hAnsi="宋体" w:cs="宋体" w:hint="eastAsia"/>
                <w:kern w:val="0"/>
                <w:sz w:val="24"/>
                <w:szCs w:val="24"/>
              </w:rPr>
              <w:t>收益率</w:t>
            </w:r>
          </w:p>
        </w:tc>
        <w:tc>
          <w:tcPr>
            <w:tcW w:w="4261" w:type="dxa"/>
          </w:tcPr>
          <w:p w14:paraId="78B7E4BA"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hint="eastAsia"/>
                <w:kern w:val="0"/>
                <w:sz w:val="24"/>
                <w:szCs w:val="24"/>
              </w:rPr>
              <w:t>浮动管理费率</w:t>
            </w:r>
            <w:r w:rsidRPr="00A861AC">
              <w:rPr>
                <w:rFonts w:ascii="宋体" w:hAnsi="宋体" w:cs="宋体"/>
                <w:kern w:val="0"/>
                <w:sz w:val="24"/>
                <w:szCs w:val="24"/>
              </w:rPr>
              <w:t>I</w:t>
            </w:r>
          </w:p>
        </w:tc>
      </w:tr>
      <w:tr w:rsidR="00370BC7" w:rsidRPr="00A861AC" w14:paraId="0CC32C5F" w14:textId="77777777" w:rsidTr="0076466C">
        <w:tc>
          <w:tcPr>
            <w:tcW w:w="4261" w:type="dxa"/>
          </w:tcPr>
          <w:p w14:paraId="31802881"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1C9EA240"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I=0</w:t>
            </w:r>
          </w:p>
        </w:tc>
      </w:tr>
      <w:tr w:rsidR="00370BC7" w:rsidRPr="00A861AC" w14:paraId="586437EA" w14:textId="77777777" w:rsidTr="0076466C">
        <w:tc>
          <w:tcPr>
            <w:tcW w:w="4261" w:type="dxa"/>
          </w:tcPr>
          <w:p w14:paraId="3689F80D" w14:textId="77777777" w:rsidR="00370BC7" w:rsidRPr="00A861AC" w:rsidRDefault="00370BC7" w:rsidP="00370BC7">
            <w:pPr>
              <w:ind w:firstLine="0"/>
              <w:jc w:val="center"/>
              <w:rPr>
                <w:rFonts w:ascii="宋体" w:hAnsi="宋体" w:cs="宋体"/>
                <w:kern w:val="0"/>
                <w:sz w:val="24"/>
                <w:szCs w:val="24"/>
              </w:rPr>
            </w:pPr>
            <w:r w:rsidRPr="00A861AC">
              <w:rPr>
                <w:rFonts w:ascii="宋体" w:hAnsi="宋体" w:cs="宋体"/>
                <w:kern w:val="0"/>
                <w:sz w:val="24"/>
                <w:szCs w:val="24"/>
              </w:rPr>
              <w:t>R＞r</w:t>
            </w:r>
          </w:p>
        </w:tc>
        <w:tc>
          <w:tcPr>
            <w:tcW w:w="4261" w:type="dxa"/>
          </w:tcPr>
          <w:p w14:paraId="65FDE5C2" w14:textId="77777777" w:rsidR="00370BC7" w:rsidRPr="00A861AC" w:rsidRDefault="00370BC7" w:rsidP="0076466C">
            <w:pPr>
              <w:ind w:firstLine="0"/>
              <w:jc w:val="center"/>
              <w:rPr>
                <w:rFonts w:ascii="宋体" w:hAnsi="宋体" w:cs="宋体"/>
                <w:kern w:val="0"/>
                <w:sz w:val="24"/>
                <w:szCs w:val="24"/>
              </w:rPr>
            </w:pPr>
            <w:r w:rsidRPr="00A861AC">
              <w:rPr>
                <w:rFonts w:ascii="宋体" w:hAnsi="宋体" w:cs="宋体"/>
                <w:kern w:val="0"/>
                <w:sz w:val="24"/>
                <w:szCs w:val="24"/>
              </w:rPr>
              <w:t>I= (R-r)*</w:t>
            </w:r>
            <w:r w:rsidR="0076466C" w:rsidRPr="00A861AC">
              <w:rPr>
                <w:rFonts w:ascii="宋体" w:hAnsi="宋体" w:cs="宋体"/>
                <w:b/>
                <w:kern w:val="0"/>
                <w:sz w:val="24"/>
                <w:szCs w:val="24"/>
              </w:rPr>
              <w:t>9</w:t>
            </w:r>
            <w:r w:rsidRPr="00A861AC">
              <w:rPr>
                <w:rFonts w:ascii="宋体" w:hAnsi="宋体" w:cs="宋体"/>
                <w:b/>
                <w:kern w:val="0"/>
                <w:sz w:val="24"/>
                <w:szCs w:val="24"/>
              </w:rPr>
              <w:t>0%</w:t>
            </w:r>
          </w:p>
        </w:tc>
      </w:tr>
    </w:tbl>
    <w:p w14:paraId="17C1F031" w14:textId="6DC2447C" w:rsidR="00370BC7" w:rsidRPr="00156B89" w:rsidRDefault="00CF2D5C"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（六）</w:t>
      </w:r>
      <w:r w:rsidR="00370BC7" w:rsidRPr="00156B89">
        <w:rPr>
          <w:rFonts w:ascii="宋体" w:hAnsi="宋体" w:cs="宋体"/>
          <w:b/>
          <w:bCs/>
          <w:color w:val="000000"/>
          <w:kern w:val="0"/>
          <w:sz w:val="24"/>
          <w:szCs w:val="24"/>
          <w:bdr w:val="none" w:sz="0" w:space="0" w:color="auto" w:frame="1"/>
        </w:rPr>
        <w:t>增值税及附加税费</w:t>
      </w:r>
    </w:p>
    <w:p w14:paraId="062835A9"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cs="宋体"/>
          <w:kern w:val="0"/>
          <w:sz w:val="24"/>
          <w:szCs w:val="24"/>
        </w:rPr>
        <w:t>根据中国增值税相关法律法规、税收政策等要求，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并依据中国税务机关要求，履行相关纳税申报义务。</w:t>
      </w:r>
    </w:p>
    <w:p w14:paraId="4F9F4E2A"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t>投资者从理财产品取得的收益应缴纳的税款，由投资者自行申报及缴纳。</w:t>
      </w:r>
    </w:p>
    <w:p w14:paraId="2D867CD2" w14:textId="7766BC3D" w:rsidR="00370BC7" w:rsidRPr="00156B89" w:rsidRDefault="00CF2D5C" w:rsidP="00156B89">
      <w:pPr>
        <w:widowControl/>
        <w:ind w:firstLine="282"/>
        <w:outlineLvl w:val="1"/>
        <w:rPr>
          <w:rFonts w:ascii="宋体" w:hAnsi="宋体"/>
          <w:b/>
        </w:rPr>
      </w:pPr>
      <w:r w:rsidRPr="00156B89">
        <w:rPr>
          <w:rFonts w:ascii="宋体" w:hAnsi="宋体" w:cs="宋体" w:hint="eastAsia"/>
          <w:b/>
          <w:bCs/>
          <w:color w:val="000000"/>
          <w:kern w:val="0"/>
          <w:sz w:val="24"/>
          <w:szCs w:val="24"/>
          <w:bdr w:val="none" w:sz="0" w:space="0" w:color="auto" w:frame="1"/>
        </w:rPr>
        <w:t>（七）</w:t>
      </w:r>
      <w:r w:rsidR="00370BC7" w:rsidRPr="00156B89">
        <w:rPr>
          <w:rFonts w:ascii="宋体" w:hAnsi="宋体" w:cs="宋体"/>
          <w:b/>
          <w:bCs/>
          <w:color w:val="000000"/>
          <w:kern w:val="0"/>
          <w:sz w:val="24"/>
          <w:szCs w:val="24"/>
          <w:bdr w:val="none" w:sz="0" w:space="0" w:color="auto" w:frame="1"/>
        </w:rPr>
        <w:t>其它费用</w:t>
      </w:r>
    </w:p>
    <w:p w14:paraId="1B6F5CC8" w14:textId="77777777" w:rsidR="00370BC7" w:rsidRPr="00A861AC" w:rsidRDefault="00370BC7" w:rsidP="000D71EC">
      <w:pPr>
        <w:spacing w:line="276" w:lineRule="auto"/>
        <w:ind w:firstLineChars="200" w:firstLine="480"/>
        <w:rPr>
          <w:rFonts w:ascii="宋体" w:hAnsi="宋体"/>
          <w:sz w:val="24"/>
          <w:szCs w:val="24"/>
        </w:rPr>
      </w:pPr>
      <w:r w:rsidRPr="00A861AC">
        <w:rPr>
          <w:rFonts w:ascii="宋体" w:hAnsi="宋体"/>
          <w:sz w:val="24"/>
          <w:szCs w:val="24"/>
        </w:rPr>
        <w:lastRenderedPageBreak/>
        <w:t>除管理费、托管费、销售费、</w:t>
      </w:r>
      <w:r w:rsidRPr="00A861AC">
        <w:rPr>
          <w:rFonts w:ascii="宋体" w:hAnsi="宋体" w:hint="eastAsia"/>
          <w:sz w:val="24"/>
          <w:szCs w:val="24"/>
        </w:rPr>
        <w:t>估值核算费、</w:t>
      </w:r>
      <w:r w:rsidRPr="00A861AC">
        <w:rPr>
          <w:rFonts w:ascii="宋体" w:hAnsi="宋体"/>
          <w:sz w:val="24"/>
          <w:szCs w:val="24"/>
        </w:rPr>
        <w:t>申购和赎回费、增值税</w:t>
      </w:r>
      <w:r w:rsidRPr="00A861AC">
        <w:rPr>
          <w:rFonts w:ascii="宋体" w:hAnsi="宋体" w:hint="eastAsia"/>
          <w:sz w:val="24"/>
          <w:szCs w:val="24"/>
        </w:rPr>
        <w:t>、浮动管理费</w:t>
      </w:r>
      <w:r w:rsidRPr="00A861AC">
        <w:rPr>
          <w:rFonts w:ascii="宋体" w:hAnsi="宋体"/>
          <w:sz w:val="24"/>
          <w:szCs w:val="24"/>
        </w:rPr>
        <w:t>及附加税费之外的产品费用，由产品管理人或托管人根据其他有关法规及相应协议的规定，按费用支出金额支付，列入或摊入当期产品费用。</w:t>
      </w:r>
    </w:p>
    <w:p w14:paraId="1A472BFE" w14:textId="77777777" w:rsidR="00370BC7" w:rsidRPr="00A861AC" w:rsidRDefault="00370BC7" w:rsidP="000D71EC">
      <w:pPr>
        <w:spacing w:line="276" w:lineRule="auto"/>
        <w:ind w:firstLineChars="200" w:firstLine="480"/>
        <w:rPr>
          <w:rFonts w:ascii="宋体" w:hAnsi="宋体" w:cs="宋体"/>
          <w:kern w:val="0"/>
          <w:sz w:val="24"/>
          <w:szCs w:val="24"/>
        </w:rPr>
      </w:pPr>
      <w:r w:rsidRPr="00A861AC">
        <w:rPr>
          <w:rFonts w:ascii="宋体" w:hAnsi="宋体" w:cs="宋体" w:hint="eastAsia"/>
          <w:kern w:val="0"/>
          <w:sz w:val="24"/>
          <w:szCs w:val="24"/>
        </w:rPr>
        <w:t>如存在其他按国家相关法律法规规定应由本产品份额持有人支付的费用，管理人和托管人有权根据实际情况在两方协商一致后增加收费项目，并最晚在变更前五个工作日披露相关信息。</w:t>
      </w:r>
    </w:p>
    <w:p w14:paraId="376F5FC1" w14:textId="3B5064E6" w:rsidR="00370BC7" w:rsidRPr="00156B89" w:rsidRDefault="00370BC7" w:rsidP="00156B89">
      <w:pPr>
        <w:pStyle w:val="2"/>
        <w:ind w:left="872"/>
        <w:rPr>
          <w:rFonts w:eastAsia="楷体"/>
          <w:b w:val="0"/>
        </w:rPr>
      </w:pPr>
      <w:r w:rsidRPr="00156B89">
        <w:rPr>
          <w:rFonts w:hint="eastAsia"/>
        </w:rPr>
        <w:t>理财产品估值</w:t>
      </w:r>
      <w:r w:rsidRPr="00156B89">
        <w:t xml:space="preserve"> </w:t>
      </w:r>
      <w:r w:rsidRPr="00156B89">
        <w:rPr>
          <w:rFonts w:eastAsia="楷体"/>
        </w:rPr>
        <w:t xml:space="preserve"> </w:t>
      </w:r>
    </w:p>
    <w:p w14:paraId="3A814E25"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（一）估值对象</w:t>
      </w:r>
    </w:p>
    <w:p w14:paraId="0D9FC64C"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本理财产品所拥有的各类资产及负债。</w:t>
      </w:r>
    </w:p>
    <w:p w14:paraId="458717D1" w14:textId="32D4E833"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（二）估值目的</w:t>
      </w:r>
    </w:p>
    <w:p w14:paraId="6AA98E55"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理财产品估值的目的是客观、准确地反映理财产品净值。</w:t>
      </w:r>
    </w:p>
    <w:p w14:paraId="05C631D1"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（三）估值原则</w:t>
      </w:r>
    </w:p>
    <w:p w14:paraId="1F71D7B9"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理财产品应坚持公允价值计量原则，符合会计准则和监管规定的范围内的可选择摊</w:t>
      </w:r>
      <w:proofErr w:type="gramStart"/>
      <w:r w:rsidRPr="00A861AC">
        <w:rPr>
          <w:rFonts w:ascii="宋体" w:hAnsi="宋体" w:cs="宋体" w:hint="eastAsia"/>
          <w:kern w:val="0"/>
          <w:sz w:val="24"/>
          <w:szCs w:val="24"/>
        </w:rPr>
        <w:t>余成本</w:t>
      </w:r>
      <w:proofErr w:type="gramEnd"/>
      <w:r w:rsidRPr="00A861AC">
        <w:rPr>
          <w:rFonts w:ascii="宋体" w:hAnsi="宋体" w:cs="宋体" w:hint="eastAsia"/>
          <w:kern w:val="0"/>
          <w:sz w:val="24"/>
          <w:szCs w:val="24"/>
        </w:rPr>
        <w:t>法计量。</w:t>
      </w:r>
    </w:p>
    <w:p w14:paraId="6D6DA1E8"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（四）估值方式</w:t>
      </w:r>
    </w:p>
    <w:p w14:paraId="21E928FC" w14:textId="77777777" w:rsidR="009A5F9F" w:rsidRPr="00A861AC" w:rsidRDefault="009A5F9F" w:rsidP="00663B4C">
      <w:pPr>
        <w:spacing w:line="276" w:lineRule="auto"/>
        <w:ind w:firstLineChars="177" w:firstLine="425"/>
        <w:rPr>
          <w:rFonts w:cs="宋体"/>
        </w:rPr>
      </w:pPr>
      <w:r w:rsidRPr="00A861AC">
        <w:rPr>
          <w:rFonts w:ascii="宋体" w:hAnsi="宋体" w:cs="宋体" w:hint="eastAsia"/>
          <w:kern w:val="0"/>
          <w:sz w:val="24"/>
          <w:szCs w:val="24"/>
        </w:rPr>
        <w:t>估值方法中列示的资产品种不代表投资管理人的实际投向，本理财产品投资范围以“投资管理”章节表述为准。</w:t>
      </w:r>
    </w:p>
    <w:p w14:paraId="08D60E03" w14:textId="77777777" w:rsidR="009A5F9F" w:rsidRPr="00A861AC" w:rsidRDefault="009A5F9F" w:rsidP="00663B4C">
      <w:pPr>
        <w:spacing w:line="276" w:lineRule="auto"/>
        <w:ind w:firstLineChars="177" w:firstLine="425"/>
        <w:rPr>
          <w:rFonts w:ascii="宋体" w:hAnsi="宋体" w:cs="宋体"/>
          <w:kern w:val="0"/>
          <w:sz w:val="24"/>
        </w:rPr>
      </w:pPr>
      <w:r w:rsidRPr="00A861AC">
        <w:rPr>
          <w:rFonts w:ascii="宋体" w:hAnsi="宋体" w:cs="宋体" w:hint="eastAsia"/>
          <w:kern w:val="0"/>
          <w:sz w:val="24"/>
          <w:szCs w:val="24"/>
        </w:rPr>
        <w:t>理财产品所投资各类资产具体估值方法如下：</w:t>
      </w:r>
    </w:p>
    <w:p w14:paraId="16E440FD" w14:textId="163BA566" w:rsidR="009A5F9F" w:rsidRPr="00A861AC" w:rsidRDefault="009A5F9F" w:rsidP="00663B4C">
      <w:pPr>
        <w:spacing w:line="276" w:lineRule="auto"/>
        <w:ind w:firstLineChars="177" w:firstLine="425"/>
        <w:rPr>
          <w:rFonts w:ascii="宋体" w:hAnsi="宋体" w:cs="宋体"/>
          <w:kern w:val="0"/>
          <w:sz w:val="24"/>
          <w:szCs w:val="24"/>
        </w:rPr>
      </w:pPr>
      <w:bookmarkStart w:id="1" w:name="_Hlk88749375"/>
      <w:r w:rsidRPr="00A861AC">
        <w:rPr>
          <w:rFonts w:ascii="宋体" w:hAnsi="宋体" w:cs="宋体"/>
          <w:kern w:val="0"/>
          <w:sz w:val="24"/>
          <w:szCs w:val="24"/>
        </w:rPr>
        <w:t>1</w:t>
      </w:r>
      <w:bookmarkEnd w:id="1"/>
      <w:r w:rsidR="00B57567">
        <w:rPr>
          <w:rFonts w:ascii="宋体" w:hAnsi="宋体" w:cs="宋体" w:hint="eastAsia"/>
          <w:kern w:val="0"/>
          <w:sz w:val="24"/>
          <w:szCs w:val="24"/>
        </w:rPr>
        <w:t>.</w:t>
      </w:r>
      <w:r w:rsidRPr="00A861AC">
        <w:rPr>
          <w:rFonts w:ascii="宋体" w:hAnsi="宋体" w:cs="宋体" w:hint="eastAsia"/>
          <w:kern w:val="0"/>
          <w:sz w:val="24"/>
          <w:szCs w:val="24"/>
        </w:rPr>
        <w:t>银行存款等存款类资产、债券回购（包含正、逆回购）和拆借以本金列示，逐日计提利息。在上述表述无法真实反映公允价值的情况下，按照国家法律、法规和规章等的最新规定，采用合理的估值技术确定公允价值。</w:t>
      </w:r>
    </w:p>
    <w:p w14:paraId="4D9DF0B8" w14:textId="0944E55E"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债券的估值方法</w:t>
      </w:r>
    </w:p>
    <w:p w14:paraId="3F288F45" w14:textId="19034941" w:rsidR="009A5F9F" w:rsidRPr="00A861AC" w:rsidRDefault="00F460D7"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1）债券选取第三方估值机构提供的相应品种当日的估值净价进行估值</w:t>
      </w:r>
    </w:p>
    <w:p w14:paraId="120D2E66" w14:textId="67A9A252" w:rsidR="009A5F9F" w:rsidRPr="00A861AC" w:rsidRDefault="00B57567" w:rsidP="00156B89">
      <w:pPr>
        <w:spacing w:line="276" w:lineRule="auto"/>
        <w:ind w:firstLine="0"/>
        <w:rPr>
          <w:rFonts w:ascii="宋体" w:hAnsi="宋体" w:cs="宋体"/>
          <w:kern w:val="0"/>
          <w:sz w:val="24"/>
          <w:szCs w:val="24"/>
        </w:rPr>
      </w:pPr>
      <w:r>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已发行但尚未上市或流通，且第三方估值机构未提供估值价格的债券，在发行利率与二级市场利率不存在明显差异、未上市或流通期间内市场利率没有发生重大变动以及发行人信用情况没有发生重大变动的情况下，可采用发行价格作为公允价值的最佳估计。</w:t>
      </w:r>
    </w:p>
    <w:p w14:paraId="1EB9BADA" w14:textId="331FFA2D"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641EEB9" w14:textId="6CCD5E92"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4</w:t>
      </w:r>
      <w:r w:rsidR="00B57567">
        <w:rPr>
          <w:rFonts w:ascii="宋体" w:hAnsi="宋体" w:cs="宋体" w:hint="eastAsia"/>
          <w:kern w:val="0"/>
          <w:sz w:val="24"/>
          <w:szCs w:val="24"/>
        </w:rPr>
        <w:t>.</w:t>
      </w:r>
      <w:r w:rsidRPr="00A861AC">
        <w:rPr>
          <w:rFonts w:ascii="宋体" w:hAnsi="宋体" w:cs="宋体"/>
          <w:kern w:val="0"/>
          <w:sz w:val="24"/>
          <w:szCs w:val="24"/>
        </w:rPr>
        <w:t>资产管理产品按资产管理产品管理人提供的最新报价进行估值。</w:t>
      </w:r>
    </w:p>
    <w:p w14:paraId="3A700B85" w14:textId="1DB1F928"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5</w:t>
      </w:r>
      <w:r w:rsidR="00B57567">
        <w:rPr>
          <w:rFonts w:ascii="宋体" w:hAnsi="宋体" w:cs="宋体" w:hint="eastAsia"/>
          <w:kern w:val="0"/>
          <w:sz w:val="24"/>
          <w:szCs w:val="24"/>
        </w:rPr>
        <w:t>.</w:t>
      </w:r>
      <w:r w:rsidRPr="00A861AC">
        <w:rPr>
          <w:rFonts w:ascii="宋体" w:hAnsi="宋体" w:cs="宋体"/>
          <w:kern w:val="0"/>
          <w:sz w:val="24"/>
          <w:szCs w:val="24"/>
        </w:rPr>
        <w:t>非标准化债权资产的估值方法</w:t>
      </w:r>
    </w:p>
    <w:p w14:paraId="7776BEC3" w14:textId="2251D57D"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1）投资于信托计划受益权、资产管理计划收益权的资产，按受托人或管理人与托管人约定的估值方案进行估值；</w:t>
      </w:r>
    </w:p>
    <w:p w14:paraId="218129B1" w14:textId="41F4E4B5" w:rsidR="009A5F9F" w:rsidRPr="00A861AC" w:rsidRDefault="00024F56" w:rsidP="00156B89">
      <w:pPr>
        <w:spacing w:line="276" w:lineRule="auto"/>
        <w:ind w:firstLine="0"/>
        <w:rPr>
          <w:rFonts w:ascii="宋体" w:hAnsi="宋体" w:cs="宋体"/>
          <w:kern w:val="0"/>
          <w:sz w:val="24"/>
          <w:szCs w:val="24"/>
        </w:rPr>
      </w:pPr>
      <w:r w:rsidRPr="00A861AC">
        <w:rPr>
          <w:rFonts w:ascii="宋体" w:hAnsi="宋体" w:cs="宋体"/>
          <w:kern w:val="0"/>
          <w:sz w:val="24"/>
          <w:szCs w:val="24"/>
        </w:rPr>
        <w:t xml:space="preserve">   </w:t>
      </w:r>
      <w:r w:rsidR="009A5F9F" w:rsidRPr="00A861AC">
        <w:rPr>
          <w:rFonts w:ascii="宋体" w:hAnsi="宋体" w:cs="宋体" w:hint="eastAsia"/>
          <w:kern w:val="0"/>
          <w:sz w:val="24"/>
          <w:szCs w:val="24"/>
        </w:rPr>
        <w:t>（</w:t>
      </w:r>
      <w:r w:rsidR="009A5F9F" w:rsidRPr="00A861AC">
        <w:rPr>
          <w:rFonts w:ascii="宋体" w:hAnsi="宋体" w:cs="宋体"/>
          <w:kern w:val="0"/>
          <w:sz w:val="24"/>
          <w:szCs w:val="24"/>
        </w:rPr>
        <w:t>2）对于不活跃公开交易的资产，采用估值技术确认公允价值。</w:t>
      </w:r>
    </w:p>
    <w:p w14:paraId="73291FAC" w14:textId="4FB03F95"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6</w:t>
      </w:r>
      <w:r w:rsidR="00B57567">
        <w:rPr>
          <w:rFonts w:ascii="宋体" w:hAnsi="宋体" w:cs="宋体" w:hint="eastAsia"/>
          <w:kern w:val="0"/>
          <w:sz w:val="24"/>
          <w:szCs w:val="24"/>
        </w:rPr>
        <w:t>.</w:t>
      </w:r>
      <w:r w:rsidRPr="00A861AC">
        <w:rPr>
          <w:rFonts w:ascii="宋体" w:hAnsi="宋体" w:cs="宋体"/>
          <w:kern w:val="0"/>
          <w:sz w:val="24"/>
          <w:szCs w:val="24"/>
        </w:rPr>
        <w:t>交易所上市的有价证券（包括股票、权证等），以其估值日在证券交易所挂牌的市价（收盘价）估值；估值日无交易的，且最近交易日后经济环境未发生重大变化或证券发行机</w:t>
      </w:r>
      <w:r w:rsidRPr="00A861AC">
        <w:rPr>
          <w:rFonts w:ascii="宋体" w:hAnsi="宋体" w:cs="宋体"/>
          <w:kern w:val="0"/>
          <w:sz w:val="24"/>
          <w:szCs w:val="24"/>
        </w:rPr>
        <w:lastRenderedPageBreak/>
        <w:t>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如收盘价不能客观价格，采用估值技术确认公允价值</w:t>
      </w:r>
    </w:p>
    <w:p w14:paraId="0BB1086B" w14:textId="37841EFB"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7</w:t>
      </w:r>
      <w:r w:rsidR="00B57567">
        <w:rPr>
          <w:rFonts w:ascii="宋体" w:hAnsi="宋体" w:cs="宋体" w:hint="eastAsia"/>
          <w:kern w:val="0"/>
          <w:sz w:val="24"/>
          <w:szCs w:val="24"/>
        </w:rPr>
        <w:t>.</w:t>
      </w:r>
      <w:r w:rsidRPr="00A861AC">
        <w:rPr>
          <w:rFonts w:ascii="宋体" w:hAnsi="宋体" w:cs="宋体"/>
          <w:kern w:val="0"/>
          <w:sz w:val="24"/>
          <w:szCs w:val="24"/>
        </w:rPr>
        <w:t>其他资产的估值方法</w:t>
      </w:r>
    </w:p>
    <w:p w14:paraId="219C98F6"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若本产品存续期间持有其他投资品种，以管理人和托管人共同认可的方法计算其价值，如存在并可以确定公允价值的，以公允价值计算，公允价值不能确定的采用估值技术进行确认。</w:t>
      </w:r>
    </w:p>
    <w:p w14:paraId="0FA4CFAA" w14:textId="62A55394"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8</w:t>
      </w:r>
      <w:r w:rsidR="00B57567">
        <w:rPr>
          <w:rFonts w:ascii="宋体" w:hAnsi="宋体" w:cs="宋体" w:hint="eastAsia"/>
          <w:kern w:val="0"/>
          <w:sz w:val="24"/>
          <w:szCs w:val="24"/>
        </w:rPr>
        <w:t>.</w:t>
      </w:r>
      <w:r w:rsidRPr="00A861AC">
        <w:rPr>
          <w:rFonts w:ascii="宋体" w:hAnsi="宋体" w:cs="宋体"/>
          <w:kern w:val="0"/>
          <w:sz w:val="24"/>
          <w:szCs w:val="24"/>
        </w:rPr>
        <w:t>国家有最新规定的，按其最新规定进行估值。</w:t>
      </w:r>
    </w:p>
    <w:p w14:paraId="40BF6C5F" w14:textId="77777777"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（五）估值错误的处理</w:t>
      </w:r>
    </w:p>
    <w:p w14:paraId="0AAD5A86" w14:textId="7B845125"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管理人和托管人采取必要、适当、合理的措施确保理财产品资产估值的准确性和及时性。当产品份额净值出现错误时，管理人、托管人立即予以纠正，并采取合理的措施防止损失进一步扩大。</w:t>
      </w:r>
    </w:p>
    <w:p w14:paraId="37766A45" w14:textId="1E29E65D"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由于本理财产品估值所用的数据来源中出现错误，或由于其他不可抗力原因，理财产品管理人和托管人虽已采取必要、适当、合理的措施进行检查，但是未能发现该错误的，由此造成的估值错误，理财产品管理人和托管人免除赔偿责任，但理财产品管理人和托管人应该积极采取必要的措施消除由此造成的影响。</w:t>
      </w:r>
    </w:p>
    <w:p w14:paraId="54D7BD9F" w14:textId="4877433E" w:rsidR="009A5F9F" w:rsidRPr="00A861AC" w:rsidRDefault="009A5F9F" w:rsidP="00663B4C">
      <w:pPr>
        <w:spacing w:line="276" w:lineRule="auto"/>
        <w:ind w:firstLineChars="177" w:firstLine="425"/>
        <w:rPr>
          <w:rFonts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当估值出现错误时，因估值错误而获得不当得利的投资者负有及时返还不当得利的义务。</w:t>
      </w:r>
    </w:p>
    <w:p w14:paraId="73924D75" w14:textId="225B89FA" w:rsidR="009A5F9F" w:rsidRPr="00156B89" w:rsidRDefault="009A5F9F"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六</w:t>
      </w:r>
      <w:r w:rsidRPr="00156B89">
        <w:rPr>
          <w:rFonts w:ascii="宋体" w:hAnsi="宋体" w:cs="宋体" w:hint="eastAsia"/>
          <w:b/>
          <w:bCs/>
          <w:color w:val="000000"/>
          <w:kern w:val="0"/>
          <w:sz w:val="24"/>
          <w:szCs w:val="24"/>
          <w:bdr w:val="none" w:sz="0" w:space="0" w:color="auto" w:frame="1"/>
        </w:rPr>
        <w:t>）估值调整的情形与处理</w:t>
      </w:r>
    </w:p>
    <w:p w14:paraId="4EB27365"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管理人、托管人应当对理财产品的估值方法和估值程序进行持续有效性评估，以保证本理财产品估值的公允、合理。如有确凿证据表明按前述估值方法规定不能客观反映理财产品资产公允价值的，管理人可根据具体情况，在综合考虑市场成交价、市场报价、流动性、收益率曲线等多种因素基础上，在与托管人商议后，按最能反映理财产品资产公允价值的方法估值。</w:t>
      </w:r>
    </w:p>
    <w:p w14:paraId="2F01C721" w14:textId="77777777"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hint="eastAsia"/>
          <w:kern w:val="0"/>
          <w:sz w:val="24"/>
          <w:szCs w:val="24"/>
        </w:rPr>
        <w:t>当开放式公募理财产品（现金管理类理财产品除外）理财产品遭遇大额申购或赎回时，管理人可以采用摆动定价机制，以确保估值的公平性。具体操作按照相关法律法规、监管规定和自律规定执行。</w:t>
      </w:r>
    </w:p>
    <w:p w14:paraId="724103DE" w14:textId="2CC8F73D" w:rsidR="009A5F9F" w:rsidRPr="00156B89" w:rsidRDefault="009A5F9F" w:rsidP="00156B89">
      <w:pPr>
        <w:widowControl/>
        <w:ind w:firstLine="282"/>
        <w:outlineLvl w:val="1"/>
        <w:rPr>
          <w:rFonts w:ascii="宋体" w:hAnsi="宋体" w:cs="宋体"/>
          <w:b/>
          <w:bCs/>
          <w:color w:val="000000"/>
          <w:kern w:val="0"/>
          <w:sz w:val="24"/>
          <w:szCs w:val="24"/>
          <w:bdr w:val="none" w:sz="0" w:space="0" w:color="auto" w:frame="1"/>
        </w:rPr>
      </w:pPr>
      <w:r w:rsidRPr="00156B89">
        <w:rPr>
          <w:rFonts w:ascii="宋体" w:hAnsi="宋体" w:cs="宋体" w:hint="eastAsia"/>
          <w:b/>
          <w:bCs/>
          <w:color w:val="000000"/>
          <w:kern w:val="0"/>
          <w:sz w:val="24"/>
          <w:szCs w:val="24"/>
          <w:bdr w:val="none" w:sz="0" w:space="0" w:color="auto" w:frame="1"/>
        </w:rPr>
        <w:t>（</w:t>
      </w:r>
      <w:r w:rsidR="00CF2D5C" w:rsidRPr="00156B89">
        <w:rPr>
          <w:rFonts w:ascii="宋体" w:hAnsi="宋体" w:cs="宋体" w:hint="eastAsia"/>
          <w:b/>
          <w:bCs/>
          <w:color w:val="000000"/>
          <w:kern w:val="0"/>
          <w:sz w:val="24"/>
          <w:szCs w:val="24"/>
          <w:bdr w:val="none" w:sz="0" w:space="0" w:color="auto" w:frame="1"/>
        </w:rPr>
        <w:t>七</w:t>
      </w:r>
      <w:r w:rsidRPr="00156B89">
        <w:rPr>
          <w:rFonts w:ascii="宋体" w:hAnsi="宋体" w:cs="宋体" w:hint="eastAsia"/>
          <w:b/>
          <w:bCs/>
          <w:color w:val="000000"/>
          <w:kern w:val="0"/>
          <w:sz w:val="24"/>
          <w:szCs w:val="24"/>
          <w:bdr w:val="none" w:sz="0" w:space="0" w:color="auto" w:frame="1"/>
        </w:rPr>
        <w:t>）暂停估值、披露净值的情形</w:t>
      </w:r>
    </w:p>
    <w:p w14:paraId="433E5568" w14:textId="34C1BA93"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1</w:t>
      </w:r>
      <w:r w:rsidR="00B57567">
        <w:rPr>
          <w:rFonts w:ascii="宋体" w:hAnsi="宋体" w:cs="宋体" w:hint="eastAsia"/>
          <w:kern w:val="0"/>
          <w:sz w:val="24"/>
          <w:szCs w:val="24"/>
        </w:rPr>
        <w:t>.</w:t>
      </w:r>
      <w:r w:rsidRPr="00A861AC">
        <w:rPr>
          <w:rFonts w:ascii="宋体" w:hAnsi="宋体" w:cs="宋体"/>
          <w:kern w:val="0"/>
          <w:sz w:val="24"/>
          <w:szCs w:val="24"/>
        </w:rPr>
        <w:t>理财产品投资涉及的交易市场遇法定节假日或其他原因暂停营业；</w:t>
      </w:r>
    </w:p>
    <w:p w14:paraId="495F5710" w14:textId="0D40403A" w:rsidR="009A5F9F"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2</w:t>
      </w:r>
      <w:r w:rsidR="00B57567">
        <w:rPr>
          <w:rFonts w:ascii="宋体" w:hAnsi="宋体" w:cs="宋体" w:hint="eastAsia"/>
          <w:kern w:val="0"/>
          <w:sz w:val="24"/>
          <w:szCs w:val="24"/>
        </w:rPr>
        <w:t>.</w:t>
      </w:r>
      <w:r w:rsidRPr="00A861AC">
        <w:rPr>
          <w:rFonts w:ascii="宋体" w:hAnsi="宋体" w:cs="宋体"/>
          <w:kern w:val="0"/>
          <w:sz w:val="24"/>
          <w:szCs w:val="24"/>
        </w:rPr>
        <w:t>因不可抗力或其他情形致使管理人、托管人无法准确评估理财产品资产价值时可以暂停估值，但估值条件恢复时，管理人、托管人必须按规定完成估值工作。管理人应在暂停估值和恢复估值发生后3个工作日内在管理人网站或</w:t>
      </w:r>
      <w:r w:rsidR="00E131B4">
        <w:rPr>
          <w:rFonts w:ascii="宋体" w:hAnsi="宋体" w:cs="宋体" w:hint="eastAsia"/>
          <w:kern w:val="0"/>
          <w:sz w:val="24"/>
          <w:szCs w:val="24"/>
        </w:rPr>
        <w:t>代销银行</w:t>
      </w:r>
      <w:r w:rsidRPr="00A861AC">
        <w:rPr>
          <w:rFonts w:ascii="宋体" w:hAnsi="宋体" w:cs="宋体"/>
          <w:kern w:val="0"/>
          <w:sz w:val="24"/>
          <w:szCs w:val="24"/>
        </w:rPr>
        <w:t>网点进行披露。</w:t>
      </w:r>
    </w:p>
    <w:p w14:paraId="2CB71FEB" w14:textId="5A4A7D94" w:rsidR="0092289A" w:rsidRPr="00A861AC" w:rsidRDefault="009A5F9F" w:rsidP="00663B4C">
      <w:pPr>
        <w:spacing w:line="276" w:lineRule="auto"/>
        <w:ind w:firstLineChars="177" w:firstLine="425"/>
        <w:rPr>
          <w:rFonts w:ascii="宋体" w:hAnsi="宋体" w:cs="宋体"/>
          <w:kern w:val="0"/>
          <w:sz w:val="24"/>
          <w:szCs w:val="24"/>
        </w:rPr>
      </w:pPr>
      <w:r w:rsidRPr="00A861AC">
        <w:rPr>
          <w:rFonts w:ascii="宋体" w:hAnsi="宋体" w:cs="宋体"/>
          <w:kern w:val="0"/>
          <w:sz w:val="24"/>
          <w:szCs w:val="24"/>
        </w:rPr>
        <w:t>3</w:t>
      </w:r>
      <w:r w:rsidR="00B57567">
        <w:rPr>
          <w:rFonts w:ascii="宋体" w:hAnsi="宋体" w:cs="宋体" w:hint="eastAsia"/>
          <w:kern w:val="0"/>
          <w:sz w:val="24"/>
          <w:szCs w:val="24"/>
        </w:rPr>
        <w:t>.</w:t>
      </w:r>
      <w:r w:rsidRPr="00A861AC">
        <w:rPr>
          <w:rFonts w:ascii="宋体" w:hAnsi="宋体" w:cs="宋体"/>
          <w:kern w:val="0"/>
          <w:sz w:val="24"/>
          <w:szCs w:val="24"/>
        </w:rPr>
        <w:t>开放式理财产品在前一估值日内，产品资产净值50%以上的资产不具备活跃交易市场或者在活跃市场中无报价，且不能采用估值技术可靠计量公允价值的，管理人暂停产品估值，并采取延缓支付赎回款项或暂停接受理财产品认购、赎回申请等措施。</w:t>
      </w:r>
    </w:p>
    <w:p w14:paraId="085049B9" w14:textId="76C06CDB" w:rsidR="00370BC7" w:rsidRPr="00156B89" w:rsidRDefault="00370BC7" w:rsidP="00156B89">
      <w:pPr>
        <w:pStyle w:val="2"/>
        <w:ind w:left="872"/>
      </w:pPr>
      <w:r w:rsidRPr="00156B89">
        <w:rPr>
          <w:rFonts w:hint="eastAsia"/>
        </w:rPr>
        <w:t>提前终止</w:t>
      </w:r>
    </w:p>
    <w:p w14:paraId="0B28FF66" w14:textId="55BC6734" w:rsidR="00370BC7" w:rsidRPr="00A861AC" w:rsidRDefault="00024F56" w:rsidP="000D71EC">
      <w:pPr>
        <w:spacing w:line="276" w:lineRule="auto"/>
        <w:ind w:firstLineChars="200" w:firstLine="480"/>
        <w:rPr>
          <w:rFonts w:ascii="宋体" w:hAnsi="宋体"/>
          <w:bCs/>
          <w:sz w:val="24"/>
          <w:szCs w:val="24"/>
        </w:rPr>
      </w:pPr>
      <w:r w:rsidRPr="00A861AC">
        <w:rPr>
          <w:rFonts w:ascii="宋体" w:hAnsi="宋体" w:hint="eastAsia"/>
          <w:bCs/>
          <w:sz w:val="24"/>
          <w:szCs w:val="24"/>
        </w:rPr>
        <w:t>（一）</w:t>
      </w:r>
      <w:r w:rsidR="00370BC7" w:rsidRPr="00A861AC">
        <w:rPr>
          <w:rFonts w:ascii="宋体" w:hAnsi="宋体" w:hint="eastAsia"/>
          <w:bCs/>
          <w:sz w:val="24"/>
          <w:szCs w:val="24"/>
        </w:rPr>
        <w:t>在理财产品投资运作期间内，</w:t>
      </w:r>
      <w:r w:rsidR="00370BC7" w:rsidRPr="00A861AC">
        <w:rPr>
          <w:rFonts w:ascii="宋体" w:hAnsi="宋体" w:hint="eastAsia"/>
          <w:b/>
          <w:bCs/>
          <w:sz w:val="24"/>
          <w:szCs w:val="24"/>
        </w:rPr>
        <w:t>客户无权要求提前终止该理财产品</w:t>
      </w:r>
      <w:r w:rsidR="00370BC7" w:rsidRPr="00A861AC">
        <w:rPr>
          <w:rFonts w:ascii="宋体" w:hAnsi="宋体" w:hint="eastAsia"/>
          <w:bCs/>
          <w:sz w:val="24"/>
          <w:szCs w:val="24"/>
        </w:rPr>
        <w:t>。当出现下列情</w:t>
      </w:r>
      <w:r w:rsidR="00370BC7" w:rsidRPr="00A861AC">
        <w:rPr>
          <w:rFonts w:ascii="宋体" w:hAnsi="宋体" w:hint="eastAsia"/>
          <w:bCs/>
          <w:sz w:val="24"/>
          <w:szCs w:val="24"/>
        </w:rPr>
        <w:lastRenderedPageBreak/>
        <w:t>形之一时，银行有权部分或全部终止本产品：</w:t>
      </w:r>
    </w:p>
    <w:p w14:paraId="3EDAA094" w14:textId="4F1D0272"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1</w:t>
      </w:r>
      <w:r w:rsidR="00B57567">
        <w:rPr>
          <w:rFonts w:ascii="宋体" w:hAnsi="宋体" w:hint="eastAsia"/>
          <w:bCs/>
          <w:sz w:val="24"/>
          <w:szCs w:val="24"/>
        </w:rPr>
        <w:t>.</w:t>
      </w:r>
      <w:r w:rsidRPr="00A861AC">
        <w:rPr>
          <w:rFonts w:ascii="宋体" w:hAnsi="宋体" w:hint="eastAsia"/>
          <w:bCs/>
          <w:sz w:val="24"/>
          <w:szCs w:val="24"/>
        </w:rPr>
        <w:t>因不可抗力原因导致理财产品无法继续运作。</w:t>
      </w:r>
    </w:p>
    <w:p w14:paraId="644F3444" w14:textId="26F3B70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2</w:t>
      </w:r>
      <w:r w:rsidR="00B57567">
        <w:rPr>
          <w:rFonts w:ascii="宋体" w:hAnsi="宋体" w:hint="eastAsia"/>
          <w:bCs/>
          <w:sz w:val="24"/>
          <w:szCs w:val="24"/>
        </w:rPr>
        <w:t>.</w:t>
      </w:r>
      <w:r w:rsidRPr="00A861AC">
        <w:rPr>
          <w:rFonts w:ascii="宋体" w:hAnsi="宋体" w:hint="eastAsia"/>
          <w:bCs/>
          <w:sz w:val="24"/>
          <w:szCs w:val="24"/>
        </w:rPr>
        <w:t>遇有市场出现剧烈波动、异常风险事件等情形导致理财产品收益出现大幅波动或严重影响理财产品的资产安全。</w:t>
      </w:r>
    </w:p>
    <w:p w14:paraId="4D950120" w14:textId="6EC1DC7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3</w:t>
      </w:r>
      <w:r w:rsidR="00B57567">
        <w:rPr>
          <w:rFonts w:ascii="宋体" w:hAnsi="宋体" w:hint="eastAsia"/>
          <w:bCs/>
          <w:sz w:val="24"/>
          <w:szCs w:val="24"/>
        </w:rPr>
        <w:t>.</w:t>
      </w:r>
      <w:r w:rsidRPr="00A861AC">
        <w:rPr>
          <w:rFonts w:ascii="宋体" w:hAnsi="宋体" w:hint="eastAsia"/>
          <w:bCs/>
          <w:sz w:val="24"/>
          <w:szCs w:val="24"/>
        </w:rPr>
        <w:t>因客户理财资金被有权机关扣划等原因导致理财产品剩余资产无法满足相关法律法规规定、所投资市场要求或协议等相关法律文件约定，或者继续存续无法实现投资目标。</w:t>
      </w:r>
    </w:p>
    <w:p w14:paraId="6858FC18" w14:textId="1E3489C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4</w:t>
      </w:r>
      <w:r w:rsidR="00B57567">
        <w:rPr>
          <w:rFonts w:ascii="宋体" w:hAnsi="宋体" w:hint="eastAsia"/>
          <w:bCs/>
          <w:sz w:val="24"/>
          <w:szCs w:val="24"/>
        </w:rPr>
        <w:t>.</w:t>
      </w:r>
      <w:r w:rsidRPr="00A861AC">
        <w:rPr>
          <w:rFonts w:ascii="宋体" w:hAnsi="宋体" w:hint="eastAsia"/>
          <w:bCs/>
          <w:sz w:val="24"/>
          <w:szCs w:val="24"/>
        </w:rPr>
        <w:t>因相关投资管理机构解散、破产、撤销、被取消业务资格等原因无法继续履行相应职责导致产品无法继续运作。</w:t>
      </w:r>
    </w:p>
    <w:p w14:paraId="38CC0BE5" w14:textId="6096F741"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5</w:t>
      </w:r>
      <w:r w:rsidR="00B57567">
        <w:rPr>
          <w:rFonts w:ascii="宋体" w:hAnsi="宋体" w:hint="eastAsia"/>
          <w:bCs/>
          <w:sz w:val="24"/>
          <w:szCs w:val="24"/>
        </w:rPr>
        <w:t>.</w:t>
      </w:r>
      <w:r w:rsidRPr="00A861AC">
        <w:rPr>
          <w:rFonts w:ascii="宋体" w:hAnsi="宋体" w:hint="eastAsia"/>
          <w:bCs/>
          <w:sz w:val="24"/>
          <w:szCs w:val="24"/>
        </w:rPr>
        <w:t>相关投资管理机构或运用理财资金的第三</w:t>
      </w:r>
      <w:proofErr w:type="gramStart"/>
      <w:r w:rsidRPr="00A861AC">
        <w:rPr>
          <w:rFonts w:ascii="宋体" w:hAnsi="宋体" w:hint="eastAsia"/>
          <w:bCs/>
          <w:sz w:val="24"/>
          <w:szCs w:val="24"/>
        </w:rPr>
        <w:t>方主体</w:t>
      </w:r>
      <w:proofErr w:type="gramEnd"/>
      <w:r w:rsidRPr="00A861AC">
        <w:rPr>
          <w:rFonts w:ascii="宋体" w:hAnsi="宋体" w:hint="eastAsia"/>
          <w:bCs/>
          <w:sz w:val="24"/>
          <w:szCs w:val="24"/>
        </w:rPr>
        <w:t>实施符合法律法规规定或协议等相关文件约定的行为导致理财产品被动提前终止。</w:t>
      </w:r>
    </w:p>
    <w:p w14:paraId="06F12E9B" w14:textId="1A984F88"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6</w:t>
      </w:r>
      <w:r w:rsidR="00B57567">
        <w:rPr>
          <w:rFonts w:ascii="宋体" w:hAnsi="宋体" w:hint="eastAsia"/>
          <w:bCs/>
          <w:sz w:val="24"/>
          <w:szCs w:val="24"/>
        </w:rPr>
        <w:t>.</w:t>
      </w:r>
      <w:r w:rsidRPr="00A861AC">
        <w:rPr>
          <w:rFonts w:ascii="宋体" w:hAnsi="宋体" w:hint="eastAsia"/>
          <w:bCs/>
          <w:sz w:val="24"/>
          <w:szCs w:val="24"/>
        </w:rPr>
        <w:t>因法律法规变化或国家金融政策调整、紧急措施出台影响产品继续正常运作。</w:t>
      </w:r>
    </w:p>
    <w:p w14:paraId="6D959EB0" w14:textId="602FE2DB"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bCs/>
          <w:sz w:val="24"/>
          <w:szCs w:val="24"/>
        </w:rPr>
        <w:t>7</w:t>
      </w:r>
      <w:r w:rsidR="00B57567">
        <w:rPr>
          <w:rFonts w:ascii="宋体" w:hAnsi="宋体" w:hint="eastAsia"/>
          <w:bCs/>
          <w:sz w:val="24"/>
          <w:szCs w:val="24"/>
        </w:rPr>
        <w:t>.</w:t>
      </w:r>
      <w:r w:rsidRPr="00A861AC">
        <w:rPr>
          <w:rFonts w:ascii="宋体" w:hAnsi="宋体" w:hint="eastAsia"/>
          <w:bCs/>
          <w:sz w:val="24"/>
          <w:szCs w:val="24"/>
        </w:rPr>
        <w:t>法律法规规定或监管部门认定的其他情形。</w:t>
      </w:r>
    </w:p>
    <w:p w14:paraId="1FF5B07D" w14:textId="019C7E9D" w:rsidR="00370BC7" w:rsidRPr="00A861AC" w:rsidRDefault="00370BC7" w:rsidP="000D71EC">
      <w:pPr>
        <w:spacing w:line="276" w:lineRule="auto"/>
        <w:ind w:firstLineChars="200" w:firstLine="480"/>
        <w:rPr>
          <w:rFonts w:ascii="宋体" w:hAnsi="宋体"/>
          <w:bCs/>
          <w:sz w:val="24"/>
          <w:szCs w:val="24"/>
        </w:rPr>
      </w:pPr>
      <w:r w:rsidRPr="00A861AC">
        <w:rPr>
          <w:rFonts w:ascii="宋体" w:hAnsi="宋体" w:hint="eastAsia"/>
          <w:bCs/>
          <w:sz w:val="24"/>
          <w:szCs w:val="24"/>
        </w:rPr>
        <w:t>如果广州农商银行提前终止本产品，广州农商银行将提前</w:t>
      </w:r>
      <w:r w:rsidRPr="00A861AC">
        <w:rPr>
          <w:rFonts w:ascii="宋体" w:hAnsi="宋体"/>
          <w:bCs/>
          <w:sz w:val="24"/>
          <w:szCs w:val="24"/>
        </w:rPr>
        <w:t>2个工作日通过广州农商银行</w:t>
      </w:r>
      <w:r w:rsidRPr="00A861AC">
        <w:rPr>
          <w:rFonts w:ascii="宋体" w:hAnsi="宋体" w:hint="eastAsia"/>
          <w:bCs/>
          <w:sz w:val="24"/>
          <w:szCs w:val="24"/>
        </w:rPr>
        <w:t>银行网站</w:t>
      </w:r>
      <w:r w:rsidR="00CD5612" w:rsidRPr="00A861AC">
        <w:rPr>
          <w:rFonts w:ascii="宋体" w:hAnsi="宋体" w:hint="eastAsia"/>
          <w:bCs/>
          <w:sz w:val="24"/>
          <w:szCs w:val="24"/>
        </w:rPr>
        <w:t>或</w:t>
      </w:r>
      <w:r w:rsidR="00CD5612" w:rsidRPr="00156B89">
        <w:rPr>
          <w:rFonts w:ascii="宋体" w:hAnsi="宋体" w:hint="eastAsia"/>
          <w:bCs/>
          <w:sz w:val="24"/>
          <w:szCs w:val="24"/>
        </w:rPr>
        <w:t>代销银行网点</w:t>
      </w:r>
      <w:r w:rsidRPr="00A861AC">
        <w:rPr>
          <w:rFonts w:ascii="宋体" w:hAnsi="宋体" w:hint="eastAsia"/>
          <w:bCs/>
          <w:sz w:val="24"/>
          <w:szCs w:val="24"/>
        </w:rPr>
        <w:t>公布提前终止日并指定资金到账日（一般为提前终止日之后的三个工作日以内）。广州农商银行应将客户理财资金于指定的资金到账日（遇银行节假日顺延）内划转至客户指定账户。提前终止日（含当日）至资金实际到账日之间，客户资金不计息。</w:t>
      </w:r>
    </w:p>
    <w:p w14:paraId="2F806A47" w14:textId="281ECC38" w:rsidR="00370BC7" w:rsidRPr="00156B89" w:rsidRDefault="00370BC7" w:rsidP="00156B89">
      <w:pPr>
        <w:pStyle w:val="2"/>
        <w:ind w:left="872"/>
        <w:rPr>
          <w:b w:val="0"/>
          <w:bCs w:val="0"/>
        </w:rPr>
      </w:pPr>
      <w:r w:rsidRPr="00156B89">
        <w:rPr>
          <w:rFonts w:hint="eastAsia"/>
        </w:rPr>
        <w:t>信息披露</w:t>
      </w:r>
    </w:p>
    <w:p w14:paraId="6C79E87A"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（一）理财产品运作信息披露</w:t>
      </w:r>
      <w:r w:rsidRPr="00156B89">
        <w:rPr>
          <w:rFonts w:ascii="宋体" w:hAnsi="宋体" w:cs="宋体"/>
          <w:b/>
          <w:bCs/>
          <w:color w:val="000000"/>
          <w:kern w:val="0"/>
          <w:sz w:val="24"/>
          <w:szCs w:val="24"/>
          <w:bdr w:val="none" w:sz="0" w:space="0" w:color="auto" w:frame="1"/>
        </w:rPr>
        <w:t xml:space="preserve">  </w:t>
      </w:r>
    </w:p>
    <w:p w14:paraId="1BD8837D" w14:textId="408D3FF5" w:rsidR="00370BC7" w:rsidRPr="00A861AC" w:rsidRDefault="00370BC7" w:rsidP="00370BC7">
      <w:pPr>
        <w:ind w:firstLineChars="200" w:firstLine="480"/>
        <w:rPr>
          <w:rFonts w:ascii="宋体" w:hAnsi="宋体"/>
          <w:sz w:val="24"/>
          <w:szCs w:val="24"/>
        </w:rPr>
      </w:pPr>
      <w:r w:rsidRPr="00A861AC">
        <w:rPr>
          <w:rFonts w:ascii="宋体" w:hAnsi="宋体"/>
          <w:sz w:val="24"/>
          <w:szCs w:val="24"/>
        </w:rPr>
        <w:t>1</w:t>
      </w:r>
      <w:r w:rsidR="00B57567">
        <w:rPr>
          <w:rFonts w:ascii="宋体" w:hAnsi="宋体" w:hint="eastAsia"/>
          <w:sz w:val="24"/>
          <w:szCs w:val="24"/>
        </w:rPr>
        <w:t>.</w:t>
      </w:r>
      <w:r w:rsidRPr="00A861AC">
        <w:rPr>
          <w:rFonts w:ascii="宋体" w:hAnsi="宋体"/>
          <w:sz w:val="24"/>
          <w:szCs w:val="24"/>
        </w:rPr>
        <w:t>本理财产品成立后，理财产品管理人在每个开放日（T日）结束后的2个工作日内，通过广州农商银行网站（www.grcbank.com），披露T日的理财产品份额净值、份额累计净值。理财产品管理人可能在上述净值披露规则的基础上增加净值披露频率（新增净值披露日），具体请以官方渠道发布信息为准。</w:t>
      </w:r>
    </w:p>
    <w:p w14:paraId="5C390CEE" w14:textId="05DB7C04" w:rsidR="00106F37" w:rsidRPr="00A861AC" w:rsidRDefault="00370BC7" w:rsidP="00106F37">
      <w:pPr>
        <w:ind w:firstLineChars="200" w:firstLine="480"/>
        <w:rPr>
          <w:rFonts w:ascii="宋体" w:hAnsi="宋体"/>
          <w:sz w:val="24"/>
          <w:szCs w:val="24"/>
        </w:rPr>
      </w:pPr>
      <w:r w:rsidRPr="00A861AC">
        <w:rPr>
          <w:rFonts w:ascii="宋体" w:hAnsi="宋体"/>
          <w:sz w:val="24"/>
          <w:szCs w:val="24"/>
        </w:rPr>
        <w:t>2</w:t>
      </w:r>
      <w:r w:rsidR="00B57567">
        <w:rPr>
          <w:rFonts w:ascii="宋体" w:hAnsi="宋体" w:hint="eastAsia"/>
          <w:sz w:val="24"/>
          <w:szCs w:val="24"/>
        </w:rPr>
        <w:t>.</w:t>
      </w:r>
      <w:r w:rsidRPr="00A861AC">
        <w:rPr>
          <w:rFonts w:ascii="宋体" w:hAnsi="宋体"/>
          <w:sz w:val="24"/>
          <w:szCs w:val="24"/>
        </w:rPr>
        <w:t>理财产品管理人应当定期向投资人披露投资状况、投资表现、风险状况等信息，并通过广州农商银行网站（www.grcbank.com）进行公告。</w:t>
      </w:r>
      <w:r w:rsidR="00106F37" w:rsidRPr="00A861AC">
        <w:rPr>
          <w:rFonts w:ascii="宋体" w:hAnsi="宋体" w:hint="eastAsia"/>
          <w:sz w:val="24"/>
          <w:szCs w:val="24"/>
        </w:rPr>
        <w:t>理财</w:t>
      </w:r>
      <w:r w:rsidR="00106F37" w:rsidRPr="00A861AC">
        <w:rPr>
          <w:rStyle w:val="fontstyle01"/>
          <w:rFonts w:ascii="宋体" w:hAnsi="宋体" w:hint="eastAsia"/>
        </w:rPr>
        <w:t>产品管理人应当在每季度结束之日起</w:t>
      </w:r>
      <w:r w:rsidR="00106F37" w:rsidRPr="00A861AC">
        <w:rPr>
          <w:rStyle w:val="fontstyle01"/>
          <w:rFonts w:ascii="宋体" w:hAnsi="宋体"/>
        </w:rPr>
        <w:t>15个工作日内，编制完成产品季度报告；应当在上半年结束之日起60个工作日内，编制完成产品半年度报告；应当在每年结束之日起90个工作日内，编制完成产品年度报告。</w:t>
      </w:r>
      <w:proofErr w:type="gramStart"/>
      <w:r w:rsidR="00106F37" w:rsidRPr="00A861AC">
        <w:rPr>
          <w:rStyle w:val="fontstyle01"/>
          <w:rFonts w:ascii="宋体" w:hAnsi="宋体"/>
        </w:rPr>
        <w:t>逢半年末</w:t>
      </w:r>
      <w:proofErr w:type="gramEnd"/>
      <w:r w:rsidR="00106F37" w:rsidRPr="00A861AC">
        <w:rPr>
          <w:rStyle w:val="fontstyle01"/>
          <w:rFonts w:ascii="宋体" w:hAnsi="宋体"/>
        </w:rPr>
        <w:t>，半年报与当季季度报告合并；逢年末，年度报告与半年度报告合并。理财产品成立不足90个工作日或者剩余存续期不超过90个工作日的，理财产品管理人可以不编制理财产品当期的季度、半年和年度报告。</w:t>
      </w:r>
      <w:r w:rsidR="00106F37" w:rsidRPr="00A861AC">
        <w:rPr>
          <w:rFonts w:ascii="宋体" w:hAnsi="宋体"/>
          <w:sz w:val="24"/>
          <w:szCs w:val="24"/>
        </w:rPr>
        <w:t xml:space="preserve">  </w:t>
      </w:r>
    </w:p>
    <w:p w14:paraId="13B1DAFC" w14:textId="0DCC0F8E" w:rsidR="00370BC7" w:rsidRPr="00A861AC" w:rsidRDefault="00370BC7" w:rsidP="00370BC7">
      <w:pPr>
        <w:ind w:firstLineChars="200" w:firstLine="480"/>
        <w:rPr>
          <w:rFonts w:ascii="宋体" w:hAnsi="宋体"/>
          <w:sz w:val="24"/>
          <w:szCs w:val="24"/>
        </w:rPr>
      </w:pPr>
      <w:r w:rsidRPr="00A861AC">
        <w:rPr>
          <w:rFonts w:ascii="宋体" w:hAnsi="宋体"/>
          <w:sz w:val="24"/>
          <w:szCs w:val="24"/>
        </w:rPr>
        <w:t>3</w:t>
      </w:r>
      <w:r w:rsidR="00B57567">
        <w:rPr>
          <w:rFonts w:ascii="宋体" w:hAnsi="宋体" w:hint="eastAsia"/>
          <w:sz w:val="24"/>
          <w:szCs w:val="24"/>
        </w:rPr>
        <w:t>.</w:t>
      </w:r>
      <w:r w:rsidRPr="00A861AC">
        <w:rPr>
          <w:rFonts w:ascii="宋体" w:hAnsi="宋体"/>
          <w:sz w:val="24"/>
          <w:szCs w:val="24"/>
        </w:rPr>
        <w:t>如理财产品管理人决定本理财计划不成立，将在决定理财计划不成立后的1个工作日，在广州农商银行网站（www.grcbank.com）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292AA4D4" w14:textId="687D64EB" w:rsidR="00370BC7" w:rsidRPr="00A861AC" w:rsidRDefault="00370BC7" w:rsidP="00370BC7">
      <w:pPr>
        <w:ind w:firstLineChars="200" w:firstLine="480"/>
        <w:rPr>
          <w:rFonts w:ascii="宋体" w:hAnsi="宋体"/>
          <w:sz w:val="24"/>
          <w:szCs w:val="24"/>
        </w:rPr>
      </w:pPr>
      <w:r w:rsidRPr="00A861AC">
        <w:rPr>
          <w:rFonts w:ascii="宋体" w:hAnsi="宋体"/>
          <w:sz w:val="24"/>
          <w:szCs w:val="24"/>
        </w:rPr>
        <w:t>4</w:t>
      </w:r>
      <w:r w:rsidR="00B57567">
        <w:rPr>
          <w:rFonts w:ascii="宋体" w:hAnsi="宋体" w:hint="eastAsia"/>
          <w:sz w:val="24"/>
          <w:szCs w:val="24"/>
        </w:rPr>
        <w:t>.</w:t>
      </w:r>
      <w:r w:rsidRPr="00A861AC">
        <w:rPr>
          <w:rFonts w:ascii="宋体" w:hAnsi="宋体"/>
          <w:sz w:val="24"/>
          <w:szCs w:val="24"/>
        </w:rPr>
        <w:t>如理财产品管理人决定提前终止本理财产品，将于提前终止日的前2个工作日，在广州农商银行网站（www.grcbank.com）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r w:rsidRPr="00A861AC">
        <w:rPr>
          <w:rFonts w:ascii="宋体" w:hAnsi="宋体"/>
          <w:sz w:val="24"/>
          <w:szCs w:val="24"/>
        </w:rPr>
        <w:t xml:space="preserve">  </w:t>
      </w:r>
    </w:p>
    <w:p w14:paraId="64022418" w14:textId="2D957D43" w:rsidR="00370BC7" w:rsidRPr="00A861AC" w:rsidRDefault="00370BC7" w:rsidP="00370BC7">
      <w:pPr>
        <w:ind w:firstLineChars="200" w:firstLine="480"/>
        <w:rPr>
          <w:rFonts w:ascii="宋体" w:hAnsi="宋体"/>
          <w:sz w:val="24"/>
          <w:szCs w:val="24"/>
        </w:rPr>
      </w:pPr>
      <w:r w:rsidRPr="00A861AC">
        <w:rPr>
          <w:rFonts w:ascii="宋体" w:hAnsi="宋体"/>
          <w:sz w:val="24"/>
          <w:szCs w:val="24"/>
        </w:rPr>
        <w:t>5</w:t>
      </w:r>
      <w:r w:rsidR="00B57567">
        <w:rPr>
          <w:rFonts w:ascii="宋体" w:hAnsi="宋体" w:hint="eastAsia"/>
          <w:sz w:val="24"/>
          <w:szCs w:val="24"/>
        </w:rPr>
        <w:t>.</w:t>
      </w:r>
      <w:r w:rsidRPr="00A861AC">
        <w:rPr>
          <w:rFonts w:ascii="宋体" w:hAnsi="宋体"/>
          <w:sz w:val="24"/>
          <w:szCs w:val="24"/>
        </w:rPr>
        <w:t>理财产品管理人将在本说明书约定的理财计划到期日后2个工作日内，在广州农商银行网站（www.grcbank.com）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Pr="00A861AC">
        <w:rPr>
          <w:rFonts w:ascii="宋体" w:hAnsi="宋体" w:hint="eastAsia"/>
          <w:sz w:val="24"/>
          <w:szCs w:val="24"/>
        </w:rPr>
        <w:t>发布相关信息公告。</w:t>
      </w:r>
    </w:p>
    <w:p w14:paraId="412F86B5" w14:textId="77777777" w:rsidR="00370BC7" w:rsidRPr="00156B89" w:rsidRDefault="00370BC7" w:rsidP="00156B89">
      <w:pPr>
        <w:widowControl/>
        <w:ind w:firstLine="282"/>
        <w:outlineLvl w:val="1"/>
        <w:rPr>
          <w:rFonts w:ascii="楷体" w:eastAsia="楷体" w:hAnsi="楷体" w:cs="宋体"/>
          <w:b/>
          <w:bCs/>
          <w:color w:val="000000"/>
          <w:kern w:val="0"/>
          <w:szCs w:val="21"/>
          <w:bdr w:val="none" w:sz="0" w:space="0" w:color="auto" w:frame="1"/>
        </w:rPr>
      </w:pPr>
      <w:r w:rsidRPr="00156B89">
        <w:rPr>
          <w:rFonts w:ascii="宋体" w:hAnsi="宋体" w:cs="宋体" w:hint="eastAsia"/>
          <w:b/>
          <w:bCs/>
          <w:color w:val="000000"/>
          <w:kern w:val="0"/>
          <w:sz w:val="24"/>
          <w:szCs w:val="24"/>
          <w:bdr w:val="none" w:sz="0" w:space="0" w:color="auto" w:frame="1"/>
        </w:rPr>
        <w:t>（二）理财产品临时信息披露</w:t>
      </w:r>
      <w:r w:rsidRPr="00156B89">
        <w:rPr>
          <w:rFonts w:ascii="宋体" w:hAnsi="宋体" w:cs="宋体"/>
          <w:b/>
          <w:bCs/>
          <w:color w:val="000000"/>
          <w:kern w:val="0"/>
          <w:sz w:val="24"/>
          <w:szCs w:val="24"/>
          <w:bdr w:val="none" w:sz="0" w:space="0" w:color="auto" w:frame="1"/>
        </w:rPr>
        <w:t xml:space="preserve"> </w:t>
      </w:r>
      <w:r w:rsidRPr="00156B89">
        <w:rPr>
          <w:rFonts w:ascii="楷体" w:eastAsia="楷体" w:hAnsi="楷体" w:cs="宋体"/>
          <w:b/>
          <w:bCs/>
          <w:color w:val="000000"/>
          <w:kern w:val="0"/>
          <w:szCs w:val="21"/>
          <w:bdr w:val="none" w:sz="0" w:space="0" w:color="auto" w:frame="1"/>
        </w:rPr>
        <w:t xml:space="preserve"> </w:t>
      </w:r>
    </w:p>
    <w:p w14:paraId="574FAD5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本理财产品在运作管理过程中，发生以下可能对理财产品份额持有人权益及理财产品份额的交易价格产生重大影响的事项之一时，理财产品管理人或理财产品托管人将按照法律、法规及中国银监会的有关规定及时披露并在广州农商银行网站（</w:t>
      </w:r>
      <w:r w:rsidRPr="00A861AC">
        <w:rPr>
          <w:rFonts w:ascii="宋体" w:hAnsi="宋体"/>
          <w:sz w:val="24"/>
          <w:szCs w:val="24"/>
        </w:rPr>
        <w:t xml:space="preserve">www.grcbank.com）上公告。  </w:t>
      </w:r>
    </w:p>
    <w:p w14:paraId="26BA99E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1）终止理财产品； </w:t>
      </w:r>
    </w:p>
    <w:p w14:paraId="5FB034CC"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lastRenderedPageBreak/>
        <w:t>（</w:t>
      </w:r>
      <w:r w:rsidRPr="00A861AC">
        <w:rPr>
          <w:rFonts w:ascii="宋体" w:hAnsi="宋体"/>
          <w:sz w:val="24"/>
          <w:szCs w:val="24"/>
        </w:rPr>
        <w:t xml:space="preserve">2）转换理财产品运作方式； </w:t>
      </w:r>
    </w:p>
    <w:p w14:paraId="05E66130"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3）更换理财产品托管人； </w:t>
      </w:r>
    </w:p>
    <w:p w14:paraId="722B113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4）理财产品认购期延长； </w:t>
      </w:r>
    </w:p>
    <w:p w14:paraId="793FDC84"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5）涉及理财产品管理业务、理财产品财产、理财产品托管业务的重大诉讼； </w:t>
      </w:r>
    </w:p>
    <w:p w14:paraId="21FBB20F"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6）理财产品收益分配事项； </w:t>
      </w:r>
    </w:p>
    <w:p w14:paraId="4FEAB7E6"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 xml:space="preserve">7）固定管理费、销售费及托管费等费用计提标准、计提方式和费率发生变更； </w:t>
      </w:r>
    </w:p>
    <w:p w14:paraId="13BCA499" w14:textId="45B15C2C"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8</w:t>
      </w:r>
      <w:r w:rsidRPr="00A861AC">
        <w:rPr>
          <w:rFonts w:ascii="宋体" w:hAnsi="宋体" w:hint="eastAsia"/>
          <w:sz w:val="24"/>
          <w:szCs w:val="24"/>
        </w:rPr>
        <w:t>）理财产品延期兑付；</w:t>
      </w:r>
    </w:p>
    <w:p w14:paraId="47033D4D" w14:textId="4029E7B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w:t>
      </w:r>
      <w:r w:rsidR="00B9655A" w:rsidRPr="00A861AC">
        <w:rPr>
          <w:rFonts w:ascii="宋体" w:hAnsi="宋体"/>
          <w:sz w:val="24"/>
          <w:szCs w:val="24"/>
        </w:rPr>
        <w:t>9</w:t>
      </w:r>
      <w:r w:rsidRPr="00A861AC">
        <w:rPr>
          <w:rFonts w:ascii="宋体" w:hAnsi="宋体" w:hint="eastAsia"/>
          <w:sz w:val="24"/>
          <w:szCs w:val="24"/>
        </w:rPr>
        <w:t>）理财产品同类产品参考业绩比较基准调整；</w:t>
      </w:r>
      <w:r w:rsidRPr="00A861AC">
        <w:rPr>
          <w:rFonts w:ascii="宋体" w:hAnsi="宋体"/>
          <w:sz w:val="24"/>
          <w:szCs w:val="24"/>
        </w:rPr>
        <w:t xml:space="preserve"> </w:t>
      </w:r>
    </w:p>
    <w:p w14:paraId="625383E5" w14:textId="22AB2841"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0</w:t>
      </w:r>
      <w:r w:rsidRPr="00A861AC">
        <w:rPr>
          <w:rFonts w:ascii="宋体" w:hAnsi="宋体" w:hint="eastAsia"/>
          <w:sz w:val="24"/>
          <w:szCs w:val="24"/>
        </w:rPr>
        <w:t>）在发生产品管理人拒绝或暂停接受投资者认购</w:t>
      </w:r>
      <w:r w:rsidRPr="00A861AC">
        <w:rPr>
          <w:rFonts w:ascii="宋体" w:hAnsi="宋体"/>
          <w:sz w:val="24"/>
          <w:szCs w:val="24"/>
        </w:rPr>
        <w:t>/申购申请、暂停接受投资者赎回申请、延缓支付赎回款项、巨额赎回、暂停产品估值等情形时，理财产品管理人将于3个交易日内告知投资者，并说明运用相关措施的原因和</w:t>
      </w:r>
      <w:proofErr w:type="gramStart"/>
      <w:r w:rsidRPr="00A861AC">
        <w:rPr>
          <w:rFonts w:ascii="宋体" w:hAnsi="宋体" w:hint="eastAsia"/>
          <w:sz w:val="24"/>
          <w:szCs w:val="24"/>
        </w:rPr>
        <w:t>拟采取</w:t>
      </w:r>
      <w:proofErr w:type="gramEnd"/>
      <w:r w:rsidRPr="00A861AC">
        <w:rPr>
          <w:rFonts w:ascii="宋体" w:hAnsi="宋体" w:hint="eastAsia"/>
          <w:sz w:val="24"/>
          <w:szCs w:val="24"/>
        </w:rPr>
        <w:t>的应对安排，并说明有关处理方法；</w:t>
      </w:r>
    </w:p>
    <w:p w14:paraId="38F7C8A0" w14:textId="1B34181D" w:rsidR="0092289A" w:rsidRPr="00A861AC" w:rsidRDefault="0092289A" w:rsidP="0092289A">
      <w:pPr>
        <w:ind w:firstLineChars="200" w:firstLine="480"/>
        <w:rPr>
          <w:rFonts w:ascii="宋体" w:hAnsi="宋体"/>
          <w:sz w:val="24"/>
          <w:szCs w:val="24"/>
        </w:rPr>
      </w:pPr>
      <w:r w:rsidRPr="00A861AC">
        <w:rPr>
          <w:rFonts w:ascii="宋体" w:hAnsi="宋体" w:hint="eastAsia"/>
          <w:sz w:val="24"/>
          <w:szCs w:val="24"/>
        </w:rPr>
        <w:t>（</w:t>
      </w:r>
      <w:r w:rsidRPr="00A861AC">
        <w:rPr>
          <w:rFonts w:ascii="宋体" w:hAnsi="宋体"/>
          <w:sz w:val="24"/>
          <w:szCs w:val="24"/>
        </w:rPr>
        <w:t>1</w:t>
      </w:r>
      <w:r w:rsidR="00B9655A" w:rsidRPr="00A861AC">
        <w:rPr>
          <w:rFonts w:ascii="宋体" w:hAnsi="宋体"/>
          <w:sz w:val="24"/>
          <w:szCs w:val="24"/>
        </w:rPr>
        <w:t>1</w:t>
      </w:r>
      <w:r w:rsidRPr="00A861AC">
        <w:rPr>
          <w:rFonts w:ascii="宋体" w:hAnsi="宋体" w:hint="eastAsia"/>
          <w:sz w:val="24"/>
          <w:szCs w:val="24"/>
        </w:rPr>
        <w:t>）其它应披露的事项。</w:t>
      </w:r>
      <w:r w:rsidRPr="00A861AC">
        <w:rPr>
          <w:rFonts w:ascii="宋体" w:hAnsi="宋体"/>
          <w:sz w:val="24"/>
          <w:szCs w:val="24"/>
        </w:rPr>
        <w:t xml:space="preserve">    </w:t>
      </w:r>
    </w:p>
    <w:p w14:paraId="14D87333" w14:textId="5AF350C6" w:rsidR="00370BC7" w:rsidRPr="00A861AC" w:rsidRDefault="007F6BDB" w:rsidP="00370BC7">
      <w:pPr>
        <w:ind w:firstLineChars="200" w:firstLine="480"/>
        <w:rPr>
          <w:rFonts w:ascii="宋体" w:hAnsi="宋体"/>
          <w:sz w:val="24"/>
          <w:szCs w:val="24"/>
        </w:rPr>
      </w:pPr>
      <w:r w:rsidRPr="00A861AC">
        <w:rPr>
          <w:rFonts w:ascii="宋体" w:hAnsi="宋体"/>
          <w:sz w:val="24"/>
          <w:szCs w:val="24"/>
        </w:rPr>
        <w:t xml:space="preserve"> </w:t>
      </w:r>
      <w:r w:rsidR="00370BC7" w:rsidRPr="00A861AC">
        <w:rPr>
          <w:rFonts w:ascii="宋体" w:hAnsi="宋体" w:hint="eastAsia"/>
          <w:sz w:val="24"/>
          <w:szCs w:val="24"/>
        </w:rPr>
        <w:t>在本产品存续期间，广州农商银行可提前通过本银行门户网（</w:t>
      </w:r>
      <w:r w:rsidR="00370BC7" w:rsidRPr="00A861AC">
        <w:rPr>
          <w:rFonts w:ascii="宋体" w:hAnsi="宋体"/>
          <w:sz w:val="24"/>
          <w:szCs w:val="24"/>
        </w:rPr>
        <w:t>www.grcbank.com）</w:t>
      </w:r>
      <w:r w:rsidR="00CD5612" w:rsidRPr="00A861AC">
        <w:rPr>
          <w:rFonts w:ascii="宋体" w:hAnsi="宋体" w:hint="eastAsia"/>
          <w:sz w:val="24"/>
          <w:szCs w:val="24"/>
        </w:rPr>
        <w:t>或</w:t>
      </w:r>
      <w:r w:rsidR="00CD5612" w:rsidRPr="00156B89">
        <w:rPr>
          <w:rFonts w:ascii="宋体" w:hAnsi="宋体" w:hint="eastAsia"/>
          <w:sz w:val="24"/>
          <w:szCs w:val="24"/>
        </w:rPr>
        <w:t>代销银行网点</w:t>
      </w:r>
      <w:r w:rsidR="00370BC7" w:rsidRPr="00A861AC">
        <w:rPr>
          <w:rFonts w:ascii="宋体" w:hAnsi="宋体" w:hint="eastAsia"/>
          <w:sz w:val="24"/>
          <w:szCs w:val="24"/>
        </w:rPr>
        <w:t>发布相关信息，对投资范围、投资品种、投资比例或产品说明书其他条款进行补充、说明和修改。</w:t>
      </w:r>
    </w:p>
    <w:p w14:paraId="4EC83388" w14:textId="77777777" w:rsidR="00370BC7" w:rsidRPr="00A861AC" w:rsidRDefault="00370BC7" w:rsidP="00370BC7">
      <w:pPr>
        <w:ind w:firstLineChars="200" w:firstLine="480"/>
        <w:rPr>
          <w:rFonts w:ascii="宋体" w:hAnsi="宋体"/>
          <w:sz w:val="24"/>
          <w:szCs w:val="24"/>
        </w:rPr>
      </w:pPr>
      <w:r w:rsidRPr="00A861AC">
        <w:rPr>
          <w:rFonts w:ascii="宋体" w:hAnsi="宋体" w:hint="eastAsia"/>
          <w:sz w:val="24"/>
          <w:szCs w:val="24"/>
        </w:rPr>
        <w:t>客户如不同意补充或修改后的说明书，可根据广州农商银行的通知或公告在预设开放日或者新增开放日赎回投资本金和收益（如有）。</w:t>
      </w:r>
      <w:r w:rsidRPr="00A861AC">
        <w:rPr>
          <w:rFonts w:ascii="宋体" w:hAnsi="宋体"/>
          <w:sz w:val="24"/>
          <w:szCs w:val="24"/>
        </w:rPr>
        <w:t xml:space="preserve">  </w:t>
      </w:r>
    </w:p>
    <w:p w14:paraId="716DD799" w14:textId="436EA92D" w:rsidR="00370BC7" w:rsidRPr="00A861AC" w:rsidRDefault="00370BC7" w:rsidP="00370BC7">
      <w:pPr>
        <w:ind w:firstLineChars="200" w:firstLine="480"/>
        <w:rPr>
          <w:rFonts w:ascii="宋体" w:hAnsi="宋体"/>
          <w:b/>
          <w:sz w:val="24"/>
          <w:szCs w:val="24"/>
        </w:rPr>
      </w:pPr>
      <w:r w:rsidRPr="00A861AC">
        <w:rPr>
          <w:rFonts w:ascii="宋体" w:hAnsi="宋体" w:hint="eastAsia"/>
          <w:sz w:val="24"/>
          <w:szCs w:val="24"/>
        </w:rPr>
        <w:t>广州农商银行通过上述网站进行信息披露，如果投资者未及时查询，或由于通讯故障、系统故障以及其他不可抗力等因素的影响使得投资者无法及时了解产品信息，因此而产生的（包括但不限于因未及时获知信息而错过资金使用和再投资的机会等）全部责任和风险，由投资者自行承担</w:t>
      </w:r>
      <w:r w:rsidRPr="00A861AC">
        <w:rPr>
          <w:rFonts w:ascii="宋体" w:hAnsi="宋体" w:hint="eastAsia"/>
          <w:b/>
          <w:sz w:val="24"/>
          <w:szCs w:val="24"/>
        </w:rPr>
        <w:t>。</w:t>
      </w:r>
    </w:p>
    <w:p w14:paraId="1DF4F7B4" w14:textId="075CF6BF" w:rsidR="00370BC7" w:rsidRPr="00A861AC" w:rsidRDefault="00370BC7" w:rsidP="00370BC7">
      <w:pPr>
        <w:ind w:firstLineChars="200" w:firstLine="482"/>
        <w:rPr>
          <w:rFonts w:ascii="宋体" w:hAnsi="宋体"/>
          <w:b/>
          <w:sz w:val="24"/>
          <w:szCs w:val="24"/>
        </w:rPr>
      </w:pPr>
      <w:r w:rsidRPr="00A861AC">
        <w:rPr>
          <w:rFonts w:ascii="宋体" w:hAnsi="宋体" w:hint="eastAsia"/>
          <w:b/>
          <w:sz w:val="24"/>
          <w:szCs w:val="24"/>
        </w:rPr>
        <w:t>根据本产品在理财登记系统取得的产品登记编码，投资者可在“中国理财网（</w:t>
      </w:r>
      <w:r w:rsidRPr="00A861AC">
        <w:rPr>
          <w:rFonts w:ascii="宋体" w:hAnsi="宋体"/>
          <w:b/>
          <w:sz w:val="24"/>
          <w:szCs w:val="24"/>
        </w:rPr>
        <w:t>www.chinawealth.com.cn）”上查询产品信息。</w:t>
      </w:r>
    </w:p>
    <w:p w14:paraId="59CF7640" w14:textId="1472B73C" w:rsidR="00370BC7" w:rsidRPr="00156B89" w:rsidRDefault="00370BC7" w:rsidP="00156B89">
      <w:pPr>
        <w:pStyle w:val="2"/>
        <w:ind w:left="872"/>
        <w:rPr>
          <w:b w:val="0"/>
          <w:bCs w:val="0"/>
        </w:rPr>
      </w:pPr>
      <w:r w:rsidRPr="00156B89">
        <w:rPr>
          <w:rFonts w:hint="eastAsia"/>
        </w:rPr>
        <w:t>特别说明</w:t>
      </w:r>
    </w:p>
    <w:p w14:paraId="06F8687E"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（一）投资者保证资金来源合法</w:t>
      </w:r>
      <w:r w:rsidRPr="00A861AC">
        <w:rPr>
          <w:rFonts w:ascii="宋体" w:hAnsi="宋体"/>
          <w:bCs/>
          <w:sz w:val="24"/>
          <w:szCs w:val="24"/>
        </w:rPr>
        <w:t>,系其合法拥有，其投资本产品已得到相关的授权，且不违反任何法律、法规、监管规定及公司章程的规定。</w:t>
      </w:r>
    </w:p>
    <w:p w14:paraId="02CD6B31"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（二）投资者签约后，广州农商银行有权于约定日期从约定的账户扣收投资者的投资本金。投资者同意广州农商银行将本产品的认购资金用于本产品说明书所述基础资产。</w:t>
      </w:r>
    </w:p>
    <w:p w14:paraId="1D95D9DF" w14:textId="77777777" w:rsidR="00370BC7" w:rsidRPr="00A861AC" w:rsidRDefault="00370BC7" w:rsidP="00370BC7">
      <w:pPr>
        <w:ind w:firstLineChars="195" w:firstLine="470"/>
        <w:rPr>
          <w:rFonts w:ascii="宋体" w:hAnsi="宋体"/>
          <w:b/>
          <w:bCs/>
          <w:sz w:val="24"/>
          <w:szCs w:val="24"/>
          <w:u w:val="single"/>
        </w:rPr>
      </w:pPr>
      <w:r w:rsidRPr="00A861AC">
        <w:rPr>
          <w:rFonts w:ascii="宋体" w:hAnsi="宋体" w:hint="eastAsia"/>
          <w:b/>
          <w:bCs/>
          <w:sz w:val="24"/>
          <w:szCs w:val="24"/>
          <w:u w:val="single"/>
        </w:rPr>
        <w:t>（三）如因投资者的原因</w:t>
      </w:r>
      <w:r w:rsidRPr="00A861AC">
        <w:rPr>
          <w:rFonts w:ascii="宋体" w:hAnsi="宋体"/>
          <w:b/>
          <w:bCs/>
          <w:sz w:val="24"/>
          <w:szCs w:val="24"/>
          <w:u w:val="single"/>
        </w:rPr>
        <w:t>,导致广州农商银行在本业务中对</w:t>
      </w:r>
      <w:proofErr w:type="gramStart"/>
      <w:r w:rsidRPr="00A861AC">
        <w:rPr>
          <w:rFonts w:ascii="宋体" w:hAnsi="宋体" w:hint="eastAsia"/>
          <w:b/>
          <w:bCs/>
          <w:sz w:val="24"/>
          <w:szCs w:val="24"/>
          <w:u w:val="single"/>
        </w:rPr>
        <w:t>其他第三</w:t>
      </w:r>
      <w:proofErr w:type="gramEnd"/>
      <w:r w:rsidRPr="00A861AC">
        <w:rPr>
          <w:rFonts w:ascii="宋体" w:hAnsi="宋体" w:hint="eastAsia"/>
          <w:b/>
          <w:bCs/>
          <w:sz w:val="24"/>
          <w:szCs w:val="24"/>
          <w:u w:val="single"/>
        </w:rPr>
        <w:t>方承担赔偿责任的</w:t>
      </w:r>
      <w:r w:rsidRPr="00A861AC">
        <w:rPr>
          <w:rFonts w:ascii="宋体" w:hAnsi="宋体"/>
          <w:b/>
          <w:bCs/>
          <w:sz w:val="24"/>
          <w:szCs w:val="24"/>
          <w:u w:val="single"/>
        </w:rPr>
        <w:t>,投资者愿意承担相应的赔偿责任。</w:t>
      </w:r>
    </w:p>
    <w:p w14:paraId="18D3F3CB" w14:textId="77777777" w:rsidR="00370BC7" w:rsidRPr="00A861AC" w:rsidRDefault="00370BC7" w:rsidP="00370BC7">
      <w:pPr>
        <w:ind w:firstLineChars="200" w:firstLine="480"/>
        <w:rPr>
          <w:rFonts w:ascii="宋体" w:hAnsi="宋体"/>
          <w:bCs/>
          <w:sz w:val="24"/>
          <w:szCs w:val="24"/>
        </w:rPr>
      </w:pPr>
      <w:r w:rsidRPr="00A861AC">
        <w:rPr>
          <w:rFonts w:ascii="宋体" w:hAnsi="宋体" w:hint="eastAsia"/>
          <w:bCs/>
          <w:sz w:val="24"/>
          <w:szCs w:val="24"/>
        </w:rPr>
        <w:t>（四）当市场发生极端重大变动或突发性事件时，为保护投资人利益，广州农商银行有权对基础资产进行处置，并及时披露。</w:t>
      </w:r>
    </w:p>
    <w:p w14:paraId="163C6A92" w14:textId="184D9891" w:rsidR="00370BC7" w:rsidRPr="00A861AC" w:rsidRDefault="00370BC7" w:rsidP="00370BC7">
      <w:pPr>
        <w:spacing w:after="120"/>
        <w:ind w:firstLineChars="195" w:firstLine="470"/>
        <w:rPr>
          <w:rFonts w:ascii="宋体" w:hAnsi="宋体"/>
          <w:b/>
          <w:bCs/>
          <w:sz w:val="24"/>
          <w:szCs w:val="24"/>
          <w:u w:val="single"/>
        </w:rPr>
      </w:pPr>
      <w:r w:rsidRPr="00A861AC">
        <w:rPr>
          <w:rFonts w:ascii="宋体" w:hAnsi="宋体" w:hint="eastAsia"/>
          <w:b/>
          <w:bCs/>
          <w:sz w:val="24"/>
          <w:szCs w:val="24"/>
          <w:u w:val="single"/>
        </w:rPr>
        <w:t>（五）本产品认购方式采取金额认购的方式。</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网点受理申请并不表示对该申请是否成功的确认，而仅代表</w:t>
      </w:r>
      <w:r w:rsidR="00E131B4">
        <w:rPr>
          <w:rFonts w:ascii="宋体" w:hAnsi="宋体" w:hint="eastAsia"/>
          <w:b/>
          <w:bCs/>
          <w:sz w:val="24"/>
          <w:szCs w:val="24"/>
          <w:u w:val="single"/>
        </w:rPr>
        <w:t>代销银行</w:t>
      </w:r>
      <w:r w:rsidRPr="00A861AC">
        <w:rPr>
          <w:rFonts w:ascii="宋体" w:hAnsi="宋体" w:hint="eastAsia"/>
          <w:b/>
          <w:bCs/>
          <w:sz w:val="24"/>
          <w:szCs w:val="24"/>
          <w:u w:val="single"/>
        </w:rPr>
        <w:t>网点确实收到了认购申请，申请是否有效应以产品管理人实际扣划资金成功为准。投资者应在签约日的下一产品工作日自行查询最终成交确认情况。因投资者未做查询确认而引起的任何资金损失均由投资者自行承担。</w:t>
      </w:r>
    </w:p>
    <w:p w14:paraId="26D122E1" w14:textId="0FEC34F8" w:rsidR="00370BC7" w:rsidRPr="00156B89" w:rsidRDefault="00370BC7" w:rsidP="00156B89">
      <w:pPr>
        <w:pStyle w:val="2"/>
        <w:ind w:left="872"/>
        <w:rPr>
          <w:b w:val="0"/>
          <w:bCs w:val="0"/>
        </w:rPr>
      </w:pPr>
      <w:r w:rsidRPr="00156B89">
        <w:rPr>
          <w:rFonts w:hint="eastAsia"/>
        </w:rPr>
        <w:t>保密条款</w:t>
      </w:r>
    </w:p>
    <w:p w14:paraId="4033E249" w14:textId="77777777" w:rsidR="00370BC7" w:rsidRPr="00A861AC" w:rsidRDefault="00370BC7" w:rsidP="00370BC7">
      <w:pPr>
        <w:ind w:firstLineChars="200" w:firstLine="480"/>
        <w:rPr>
          <w:rFonts w:ascii="宋体" w:hAnsi="宋体"/>
          <w:sz w:val="24"/>
          <w:szCs w:val="24"/>
        </w:rPr>
      </w:pPr>
      <w:r w:rsidRPr="00A861AC">
        <w:rPr>
          <w:rFonts w:ascii="宋体" w:hAnsi="宋体"/>
          <w:sz w:val="24"/>
          <w:szCs w:val="24"/>
        </w:rPr>
        <w:t>对于本理财产品相关信息，广州农村商业银行与投资者都负有保密义务，未经对方书面同意，不得作其他用途</w:t>
      </w:r>
      <w:r w:rsidR="00106F37" w:rsidRPr="00A861AC">
        <w:rPr>
          <w:rFonts w:ascii="宋体" w:hAnsi="宋体" w:hint="eastAsia"/>
          <w:sz w:val="24"/>
          <w:szCs w:val="24"/>
        </w:rPr>
        <w:t>，确保个人信息处理活动符合法律、行政法规的规定，并防止未经授权的访问以及个人信息泄露、篡改、丢失</w:t>
      </w:r>
      <w:r w:rsidRPr="00A861AC">
        <w:rPr>
          <w:rFonts w:ascii="宋体" w:hAnsi="宋体"/>
          <w:sz w:val="24"/>
          <w:szCs w:val="24"/>
        </w:rPr>
        <w:t>。</w:t>
      </w:r>
    </w:p>
    <w:p w14:paraId="217CEE7A" w14:textId="77777777" w:rsidR="00370BC7" w:rsidRPr="00A861AC" w:rsidRDefault="00370BC7" w:rsidP="00370BC7">
      <w:pPr>
        <w:ind w:firstLineChars="200" w:firstLine="480"/>
        <w:rPr>
          <w:rFonts w:ascii="宋体" w:hAnsi="宋体"/>
          <w:sz w:val="24"/>
          <w:szCs w:val="24"/>
        </w:rPr>
      </w:pPr>
    </w:p>
    <w:p w14:paraId="50D57DA2" w14:textId="77777777" w:rsidR="00370BC7" w:rsidRPr="006B6CF4" w:rsidRDefault="00370BC7" w:rsidP="00370BC7">
      <w:pPr>
        <w:ind w:firstLineChars="200" w:firstLine="482"/>
        <w:jc w:val="right"/>
        <w:rPr>
          <w:rFonts w:ascii="宋体" w:hAnsi="宋体"/>
          <w:b/>
          <w:bCs/>
          <w:sz w:val="24"/>
          <w:szCs w:val="24"/>
        </w:rPr>
      </w:pPr>
      <w:r w:rsidRPr="00A861AC">
        <w:rPr>
          <w:rFonts w:ascii="宋体" w:hAnsi="宋体" w:hint="eastAsia"/>
          <w:b/>
          <w:bCs/>
          <w:sz w:val="24"/>
          <w:szCs w:val="24"/>
        </w:rPr>
        <w:lastRenderedPageBreak/>
        <w:t>广州农村商业银行股份有限公司</w:t>
      </w:r>
    </w:p>
    <w:p w14:paraId="27A494D9" w14:textId="77777777" w:rsidR="00805E39" w:rsidRDefault="00805E39" w:rsidP="00E30832">
      <w:pPr>
        <w:spacing w:after="120"/>
        <w:ind w:firstLine="0"/>
        <w:jc w:val="center"/>
        <w:rPr>
          <w:rFonts w:ascii="宋体" w:hAnsi="宋体"/>
        </w:rPr>
      </w:pPr>
    </w:p>
    <w:p w14:paraId="673AA216" w14:textId="77777777" w:rsidR="00805E39" w:rsidRDefault="00805E39" w:rsidP="00E30832">
      <w:pPr>
        <w:spacing w:after="120"/>
        <w:ind w:firstLine="0"/>
        <w:jc w:val="center"/>
        <w:rPr>
          <w:rFonts w:ascii="宋体" w:hAnsi="宋体"/>
        </w:rPr>
      </w:pPr>
    </w:p>
    <w:sectPr w:rsidR="00805E39" w:rsidSect="008D3916">
      <w:headerReference w:type="default" r:id="rId13"/>
      <w:footerReference w:type="default" r:id="rId14"/>
      <w:pgSz w:w="11906" w:h="16838"/>
      <w:pgMar w:top="1440" w:right="1134" w:bottom="1440" w:left="1134"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CBA9C" w16cid:durableId="2B14164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4218D" w14:textId="77777777" w:rsidR="000536D8" w:rsidRDefault="000536D8" w:rsidP="004A3D40">
      <w:pPr>
        <w:ind w:firstLine="420"/>
      </w:pPr>
      <w:r>
        <w:separator/>
      </w:r>
    </w:p>
  </w:endnote>
  <w:endnote w:type="continuationSeparator" w:id="0">
    <w:p w14:paraId="4DE8AAA4" w14:textId="77777777" w:rsidR="000536D8" w:rsidRDefault="000536D8" w:rsidP="004A3D4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YaHei">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040"/>
      <w:docPartObj>
        <w:docPartGallery w:val="Page Numbers (Bottom of Page)"/>
        <w:docPartUnique/>
      </w:docPartObj>
    </w:sdtPr>
    <w:sdtEndPr/>
    <w:sdtContent>
      <w:p w14:paraId="60C7B3BA" w14:textId="2C90B3D5" w:rsidR="005A5024" w:rsidRDefault="005A5024">
        <w:pPr>
          <w:pStyle w:val="a5"/>
          <w:jc w:val="center"/>
        </w:pPr>
        <w:r>
          <w:fldChar w:fldCharType="begin"/>
        </w:r>
        <w:r>
          <w:instrText xml:space="preserve"> PAGE   \* MERGEFORMAT </w:instrText>
        </w:r>
        <w:r>
          <w:fldChar w:fldCharType="separate"/>
        </w:r>
        <w:r w:rsidR="00345AC0" w:rsidRPr="00345AC0">
          <w:rPr>
            <w:noProof/>
            <w:lang w:val="zh-CN"/>
          </w:rPr>
          <w:t>12</w:t>
        </w:r>
        <w:r>
          <w:rPr>
            <w:noProof/>
            <w:lang w:val="zh-CN"/>
          </w:rPr>
          <w:fldChar w:fldCharType="end"/>
        </w:r>
      </w:p>
    </w:sdtContent>
  </w:sdt>
  <w:p w14:paraId="6846C487" w14:textId="77777777" w:rsidR="005A5024" w:rsidRDefault="005A50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FAC43" w14:textId="77777777" w:rsidR="000536D8" w:rsidRDefault="000536D8" w:rsidP="004A3D40">
      <w:pPr>
        <w:ind w:firstLine="420"/>
      </w:pPr>
      <w:r>
        <w:separator/>
      </w:r>
    </w:p>
  </w:footnote>
  <w:footnote w:type="continuationSeparator" w:id="0">
    <w:p w14:paraId="44BB5D5E" w14:textId="77777777" w:rsidR="000536D8" w:rsidRDefault="000536D8" w:rsidP="004A3D40">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7E29" w14:textId="77777777" w:rsidR="005A5024" w:rsidRDefault="005A5024" w:rsidP="004A3D40">
    <w:pPr>
      <w:pStyle w:val="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ind w:left="780" w:hanging="360"/>
      </w:pPr>
      <w:rPr>
        <w:rFonts w:ascii="Times New Roman" w:hAnsi="Times New Roman" w:cs="Times New Roman" w:hint="default"/>
        <w:u w:color="000000"/>
      </w:rPr>
    </w:lvl>
    <w:lvl w:ilvl="1">
      <w:start w:val="1"/>
      <w:numFmt w:val="lowerLetter"/>
      <w:lvlText w:val="%2)"/>
      <w:lvlJc w:val="left"/>
      <w:pPr>
        <w:ind w:left="1260"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1" w15:restartNumberingAfterBreak="0">
    <w:nsid w:val="00000008"/>
    <w:multiLevelType w:val="multilevel"/>
    <w:tmpl w:val="00000008"/>
    <w:lvl w:ilvl="0">
      <w:start w:val="1"/>
      <w:numFmt w:val="bullet"/>
      <w:lvlText w:val=""/>
      <w:lvlJc w:val="left"/>
      <w:pPr>
        <w:ind w:left="780" w:hanging="420"/>
      </w:pPr>
      <w:rPr>
        <w:rFonts w:ascii="Wingdings" w:hAnsi="Wingdings" w:hint="default"/>
        <w:u w:color="000000"/>
      </w:rPr>
    </w:lvl>
    <w:lvl w:ilvl="1">
      <w:start w:val="1"/>
      <w:numFmt w:val="bullet"/>
      <w:lvlText w:val=""/>
      <w:lvlJc w:val="left"/>
      <w:pPr>
        <w:ind w:left="1200" w:hanging="420"/>
      </w:pPr>
      <w:rPr>
        <w:rFonts w:ascii="Wingdings" w:hAnsi="Wingdings" w:hint="default"/>
        <w:u w:color="000000"/>
      </w:rPr>
    </w:lvl>
    <w:lvl w:ilvl="2">
      <w:start w:val="1"/>
      <w:numFmt w:val="bullet"/>
      <w:lvlText w:val=""/>
      <w:lvlJc w:val="left"/>
      <w:pPr>
        <w:ind w:left="1620" w:hanging="420"/>
      </w:pPr>
      <w:rPr>
        <w:rFonts w:ascii="Wingdings" w:hAnsi="Wingdings" w:hint="default"/>
        <w:u w:color="000000"/>
      </w:rPr>
    </w:lvl>
    <w:lvl w:ilvl="3">
      <w:start w:val="1"/>
      <w:numFmt w:val="bullet"/>
      <w:lvlText w:val=""/>
      <w:lvlJc w:val="left"/>
      <w:pPr>
        <w:ind w:left="2040" w:hanging="420"/>
      </w:pPr>
      <w:rPr>
        <w:rFonts w:ascii="Wingdings" w:hAnsi="Wingdings" w:hint="default"/>
        <w:u w:color="000000"/>
      </w:rPr>
    </w:lvl>
    <w:lvl w:ilvl="4">
      <w:start w:val="1"/>
      <w:numFmt w:val="bullet"/>
      <w:lvlText w:val=""/>
      <w:lvlJc w:val="left"/>
      <w:pPr>
        <w:ind w:left="2460" w:hanging="420"/>
      </w:pPr>
      <w:rPr>
        <w:rFonts w:ascii="Wingdings" w:hAnsi="Wingdings" w:hint="default"/>
        <w:u w:color="000000"/>
      </w:rPr>
    </w:lvl>
    <w:lvl w:ilvl="5">
      <w:start w:val="1"/>
      <w:numFmt w:val="bullet"/>
      <w:lvlText w:val=""/>
      <w:lvlJc w:val="left"/>
      <w:pPr>
        <w:ind w:left="2880" w:hanging="420"/>
      </w:pPr>
      <w:rPr>
        <w:rFonts w:ascii="Wingdings" w:hAnsi="Wingdings" w:hint="default"/>
        <w:u w:color="000000"/>
      </w:rPr>
    </w:lvl>
    <w:lvl w:ilvl="6">
      <w:start w:val="1"/>
      <w:numFmt w:val="bullet"/>
      <w:lvlText w:val=""/>
      <w:lvlJc w:val="left"/>
      <w:pPr>
        <w:ind w:left="3300" w:hanging="420"/>
      </w:pPr>
      <w:rPr>
        <w:rFonts w:ascii="Wingdings" w:hAnsi="Wingdings" w:hint="default"/>
        <w:u w:color="000000"/>
      </w:rPr>
    </w:lvl>
    <w:lvl w:ilvl="7">
      <w:start w:val="1"/>
      <w:numFmt w:val="bullet"/>
      <w:lvlText w:val=""/>
      <w:lvlJc w:val="left"/>
      <w:pPr>
        <w:ind w:left="3720" w:hanging="420"/>
      </w:pPr>
      <w:rPr>
        <w:rFonts w:ascii="Wingdings" w:hAnsi="Wingdings" w:hint="default"/>
        <w:u w:color="000000"/>
      </w:rPr>
    </w:lvl>
    <w:lvl w:ilvl="8">
      <w:start w:val="1"/>
      <w:numFmt w:val="bullet"/>
      <w:lvlText w:val=""/>
      <w:lvlJc w:val="left"/>
      <w:pPr>
        <w:ind w:left="4140" w:hanging="420"/>
      </w:pPr>
      <w:rPr>
        <w:rFonts w:ascii="Wingdings" w:hAnsi="Wingdings" w:hint="default"/>
        <w:u w:color="000000"/>
      </w:rPr>
    </w:lvl>
  </w:abstractNum>
  <w:abstractNum w:abstractNumId="2" w15:restartNumberingAfterBreak="0">
    <w:nsid w:val="0000000A"/>
    <w:multiLevelType w:val="multilevel"/>
    <w:tmpl w:val="0000000A"/>
    <w:lvl w:ilvl="0">
      <w:start w:val="1"/>
      <w:numFmt w:val="decimal"/>
      <w:lvlText w:val="%1)"/>
      <w:lvlJc w:val="left"/>
      <w:pPr>
        <w:ind w:left="840" w:hanging="420"/>
      </w:pPr>
      <w:rPr>
        <w:rFonts w:ascii="Times New Roman" w:hAnsi="Times New Roman" w:cs="Times New Roman" w:hint="default"/>
        <w:u w:color="000000"/>
      </w:rPr>
    </w:lvl>
    <w:lvl w:ilvl="1">
      <w:start w:val="1"/>
      <w:numFmt w:val="decimal"/>
      <w:lvlText w:val="%2)"/>
      <w:lvlJc w:val="left"/>
      <w:pPr>
        <w:ind w:left="846" w:hanging="420"/>
      </w:pPr>
      <w:rPr>
        <w:rFonts w:ascii="Times New Roman" w:hAnsi="Times New Roman" w:cs="Times New Roman" w:hint="default"/>
        <w:u w:color="000000"/>
      </w:rPr>
    </w:lvl>
    <w:lvl w:ilvl="2">
      <w:start w:val="1"/>
      <w:numFmt w:val="lowerRoman"/>
      <w:lvlText w:val="%3."/>
      <w:lvlJc w:val="right"/>
      <w:pPr>
        <w:ind w:left="1680" w:hanging="420"/>
      </w:pPr>
      <w:rPr>
        <w:rFonts w:ascii="Times New Roman" w:hAnsi="Times New Roman" w:cs="Times New Roman" w:hint="default"/>
        <w:u w:color="000000"/>
      </w:rPr>
    </w:lvl>
    <w:lvl w:ilvl="3">
      <w:start w:val="1"/>
      <w:numFmt w:val="decimal"/>
      <w:lvlText w:val="%4."/>
      <w:lvlJc w:val="left"/>
      <w:pPr>
        <w:ind w:left="2100" w:hanging="420"/>
      </w:pPr>
      <w:rPr>
        <w:rFonts w:ascii="Times New Roman" w:hAnsi="Times New Roman" w:cs="Times New Roman" w:hint="default"/>
        <w:u w:color="000000"/>
      </w:rPr>
    </w:lvl>
    <w:lvl w:ilvl="4">
      <w:start w:val="1"/>
      <w:numFmt w:val="lowerLetter"/>
      <w:lvlText w:val="%5)"/>
      <w:lvlJc w:val="left"/>
      <w:pPr>
        <w:ind w:left="2520" w:hanging="420"/>
      </w:pPr>
      <w:rPr>
        <w:rFonts w:ascii="Times New Roman" w:hAnsi="Times New Roman" w:cs="Times New Roman" w:hint="default"/>
        <w:u w:color="000000"/>
      </w:rPr>
    </w:lvl>
    <w:lvl w:ilvl="5">
      <w:start w:val="1"/>
      <w:numFmt w:val="lowerRoman"/>
      <w:lvlText w:val="%6."/>
      <w:lvlJc w:val="right"/>
      <w:pPr>
        <w:ind w:left="2940" w:hanging="420"/>
      </w:pPr>
      <w:rPr>
        <w:rFonts w:ascii="Times New Roman" w:hAnsi="Times New Roman" w:cs="Times New Roman" w:hint="default"/>
        <w:u w:color="000000"/>
      </w:rPr>
    </w:lvl>
    <w:lvl w:ilvl="6">
      <w:start w:val="1"/>
      <w:numFmt w:val="decimal"/>
      <w:lvlText w:val="%7."/>
      <w:lvlJc w:val="left"/>
      <w:pPr>
        <w:ind w:left="3360" w:hanging="420"/>
      </w:pPr>
      <w:rPr>
        <w:rFonts w:ascii="Times New Roman" w:hAnsi="Times New Roman" w:cs="Times New Roman" w:hint="default"/>
        <w:u w:color="000000"/>
      </w:rPr>
    </w:lvl>
    <w:lvl w:ilvl="7">
      <w:start w:val="1"/>
      <w:numFmt w:val="lowerLetter"/>
      <w:lvlText w:val="%8)"/>
      <w:lvlJc w:val="left"/>
      <w:pPr>
        <w:ind w:left="3780" w:hanging="420"/>
      </w:pPr>
      <w:rPr>
        <w:rFonts w:ascii="Times New Roman" w:hAnsi="Times New Roman" w:cs="Times New Roman" w:hint="default"/>
        <w:u w:color="000000"/>
      </w:rPr>
    </w:lvl>
    <w:lvl w:ilvl="8">
      <w:start w:val="1"/>
      <w:numFmt w:val="lowerRoman"/>
      <w:lvlText w:val="%9."/>
      <w:lvlJc w:val="right"/>
      <w:pPr>
        <w:ind w:left="4200" w:hanging="420"/>
      </w:pPr>
      <w:rPr>
        <w:rFonts w:ascii="Times New Roman" w:hAnsi="Times New Roman" w:cs="Times New Roman" w:hint="default"/>
        <w:u w:color="000000"/>
      </w:rPr>
    </w:lvl>
  </w:abstractNum>
  <w:abstractNum w:abstractNumId="3" w15:restartNumberingAfterBreak="0">
    <w:nsid w:val="0000000E"/>
    <w:multiLevelType w:val="multilevel"/>
    <w:tmpl w:val="0000000E"/>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lowerRoman"/>
      <w:lvlText w:val="%3."/>
      <w:lvlJc w:val="righ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abstractNum w:abstractNumId="4" w15:restartNumberingAfterBreak="0">
    <w:nsid w:val="045E49A8"/>
    <w:multiLevelType w:val="hybridMultilevel"/>
    <w:tmpl w:val="DAB023DE"/>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C461944"/>
    <w:multiLevelType w:val="multilevel"/>
    <w:tmpl w:val="0C461944"/>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0CC16F3D"/>
    <w:multiLevelType w:val="multilevel"/>
    <w:tmpl w:val="0CC16F3D"/>
    <w:lvl w:ilvl="0">
      <w:start w:val="1"/>
      <w:numFmt w:val="decimal"/>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735062C"/>
    <w:multiLevelType w:val="hybridMultilevel"/>
    <w:tmpl w:val="5F2C90C0"/>
    <w:lvl w:ilvl="0" w:tplc="8FCE4C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4C77C8"/>
    <w:multiLevelType w:val="hybridMultilevel"/>
    <w:tmpl w:val="F54054A0"/>
    <w:lvl w:ilvl="0" w:tplc="D4905126">
      <w:start w:val="1"/>
      <w:numFmt w:val="japaneseCounting"/>
      <w:pStyle w:val="2"/>
      <w:lvlText w:val="%1、"/>
      <w:lvlJc w:val="left"/>
      <w:pPr>
        <w:ind w:left="734" w:hanging="450"/>
      </w:pPr>
      <w:rPr>
        <w:rFonts w:ascii="宋体" w:eastAsia="宋体" w:hAnsi="宋体"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15:restartNumberingAfterBreak="0">
    <w:nsid w:val="402926C8"/>
    <w:multiLevelType w:val="hybridMultilevel"/>
    <w:tmpl w:val="A956F2C6"/>
    <w:lvl w:ilvl="0" w:tplc="5E0C87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533012A5"/>
    <w:multiLevelType w:val="multilevel"/>
    <w:tmpl w:val="533012A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79F211FC"/>
    <w:multiLevelType w:val="multilevel"/>
    <w:tmpl w:val="79F211FC"/>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5"/>
  </w:num>
  <w:num w:numId="10">
    <w:abstractNumId w:val="6"/>
  </w:num>
  <w:num w:numId="11">
    <w:abstractNumId w:val="10"/>
  </w:num>
  <w:num w:numId="12">
    <w:abstractNumId w:val="11"/>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0A"/>
    <w:rsid w:val="000038F0"/>
    <w:rsid w:val="00004EBB"/>
    <w:rsid w:val="0000763D"/>
    <w:rsid w:val="000101B9"/>
    <w:rsid w:val="000127D7"/>
    <w:rsid w:val="0001285A"/>
    <w:rsid w:val="00012DE3"/>
    <w:rsid w:val="00012FF1"/>
    <w:rsid w:val="00013C26"/>
    <w:rsid w:val="000163F5"/>
    <w:rsid w:val="00016AED"/>
    <w:rsid w:val="00017B62"/>
    <w:rsid w:val="00020D56"/>
    <w:rsid w:val="00021314"/>
    <w:rsid w:val="00021B55"/>
    <w:rsid w:val="00022036"/>
    <w:rsid w:val="000224D7"/>
    <w:rsid w:val="00024F56"/>
    <w:rsid w:val="00025560"/>
    <w:rsid w:val="00026852"/>
    <w:rsid w:val="000305DF"/>
    <w:rsid w:val="000315F7"/>
    <w:rsid w:val="0003237E"/>
    <w:rsid w:val="000369B4"/>
    <w:rsid w:val="00036B35"/>
    <w:rsid w:val="00037B28"/>
    <w:rsid w:val="00037D17"/>
    <w:rsid w:val="0004031A"/>
    <w:rsid w:val="00040BA4"/>
    <w:rsid w:val="00042DEC"/>
    <w:rsid w:val="00043E7F"/>
    <w:rsid w:val="0004442B"/>
    <w:rsid w:val="00045598"/>
    <w:rsid w:val="000463B8"/>
    <w:rsid w:val="000465B0"/>
    <w:rsid w:val="000536D8"/>
    <w:rsid w:val="00053A51"/>
    <w:rsid w:val="00053FA7"/>
    <w:rsid w:val="00057D31"/>
    <w:rsid w:val="00057D4B"/>
    <w:rsid w:val="00061B51"/>
    <w:rsid w:val="00063604"/>
    <w:rsid w:val="0006520E"/>
    <w:rsid w:val="00065D93"/>
    <w:rsid w:val="000672EC"/>
    <w:rsid w:val="00067559"/>
    <w:rsid w:val="00067631"/>
    <w:rsid w:val="000701CB"/>
    <w:rsid w:val="0007035A"/>
    <w:rsid w:val="00074AD1"/>
    <w:rsid w:val="00077AEA"/>
    <w:rsid w:val="000826A6"/>
    <w:rsid w:val="00082DB8"/>
    <w:rsid w:val="00083664"/>
    <w:rsid w:val="00083C32"/>
    <w:rsid w:val="00083F3C"/>
    <w:rsid w:val="00084626"/>
    <w:rsid w:val="0008560F"/>
    <w:rsid w:val="000901FA"/>
    <w:rsid w:val="0009217A"/>
    <w:rsid w:val="00095362"/>
    <w:rsid w:val="000A03AE"/>
    <w:rsid w:val="000A2805"/>
    <w:rsid w:val="000A53F6"/>
    <w:rsid w:val="000A5462"/>
    <w:rsid w:val="000A5AAB"/>
    <w:rsid w:val="000B0AF2"/>
    <w:rsid w:val="000B37EA"/>
    <w:rsid w:val="000B6796"/>
    <w:rsid w:val="000C0776"/>
    <w:rsid w:val="000C0B26"/>
    <w:rsid w:val="000D4140"/>
    <w:rsid w:val="000D4956"/>
    <w:rsid w:val="000D71EC"/>
    <w:rsid w:val="000E048F"/>
    <w:rsid w:val="000E1465"/>
    <w:rsid w:val="000E3F36"/>
    <w:rsid w:val="000E57A3"/>
    <w:rsid w:val="000E6CEC"/>
    <w:rsid w:val="000F228A"/>
    <w:rsid w:val="000F71AA"/>
    <w:rsid w:val="000F7FDE"/>
    <w:rsid w:val="001018D2"/>
    <w:rsid w:val="00101BE2"/>
    <w:rsid w:val="0010234C"/>
    <w:rsid w:val="00102355"/>
    <w:rsid w:val="0010296C"/>
    <w:rsid w:val="00104E0B"/>
    <w:rsid w:val="00106E00"/>
    <w:rsid w:val="00106F37"/>
    <w:rsid w:val="00110486"/>
    <w:rsid w:val="00110823"/>
    <w:rsid w:val="00112AFB"/>
    <w:rsid w:val="00112CD1"/>
    <w:rsid w:val="00113825"/>
    <w:rsid w:val="00117FBD"/>
    <w:rsid w:val="00121DF0"/>
    <w:rsid w:val="00121FB2"/>
    <w:rsid w:val="00122D69"/>
    <w:rsid w:val="001244ED"/>
    <w:rsid w:val="0012770A"/>
    <w:rsid w:val="00131EFC"/>
    <w:rsid w:val="00133169"/>
    <w:rsid w:val="001421AB"/>
    <w:rsid w:val="00142663"/>
    <w:rsid w:val="00143A6E"/>
    <w:rsid w:val="00143C73"/>
    <w:rsid w:val="00144A97"/>
    <w:rsid w:val="00145271"/>
    <w:rsid w:val="0014549F"/>
    <w:rsid w:val="00145DB7"/>
    <w:rsid w:val="00146D4B"/>
    <w:rsid w:val="001471CF"/>
    <w:rsid w:val="00147B94"/>
    <w:rsid w:val="00147E48"/>
    <w:rsid w:val="00151DEA"/>
    <w:rsid w:val="00154656"/>
    <w:rsid w:val="00155981"/>
    <w:rsid w:val="001559CA"/>
    <w:rsid w:val="00156B89"/>
    <w:rsid w:val="00157957"/>
    <w:rsid w:val="00160656"/>
    <w:rsid w:val="00163166"/>
    <w:rsid w:val="001645FD"/>
    <w:rsid w:val="00170D64"/>
    <w:rsid w:val="0017129F"/>
    <w:rsid w:val="001747B4"/>
    <w:rsid w:val="00174E58"/>
    <w:rsid w:val="00176CA8"/>
    <w:rsid w:val="001804CA"/>
    <w:rsid w:val="00182C77"/>
    <w:rsid w:val="00184C5A"/>
    <w:rsid w:val="0019060A"/>
    <w:rsid w:val="0019108E"/>
    <w:rsid w:val="00192589"/>
    <w:rsid w:val="001951C5"/>
    <w:rsid w:val="001957C1"/>
    <w:rsid w:val="00195E72"/>
    <w:rsid w:val="00196FB8"/>
    <w:rsid w:val="001A1CCA"/>
    <w:rsid w:val="001A6763"/>
    <w:rsid w:val="001A6975"/>
    <w:rsid w:val="001B04AA"/>
    <w:rsid w:val="001B1DEE"/>
    <w:rsid w:val="001B2024"/>
    <w:rsid w:val="001B217F"/>
    <w:rsid w:val="001B51AE"/>
    <w:rsid w:val="001C2508"/>
    <w:rsid w:val="001C2FC5"/>
    <w:rsid w:val="001C355E"/>
    <w:rsid w:val="001C434B"/>
    <w:rsid w:val="001C4589"/>
    <w:rsid w:val="001C48E8"/>
    <w:rsid w:val="001C4AD2"/>
    <w:rsid w:val="001C75DE"/>
    <w:rsid w:val="001D00D1"/>
    <w:rsid w:val="001D22A6"/>
    <w:rsid w:val="001D2CF8"/>
    <w:rsid w:val="001D6AAE"/>
    <w:rsid w:val="001D740A"/>
    <w:rsid w:val="001E00E0"/>
    <w:rsid w:val="001E0E75"/>
    <w:rsid w:val="001E4BB2"/>
    <w:rsid w:val="001F12DA"/>
    <w:rsid w:val="001F1B73"/>
    <w:rsid w:val="001F1E68"/>
    <w:rsid w:val="001F2A4F"/>
    <w:rsid w:val="001F3B04"/>
    <w:rsid w:val="001F3BF6"/>
    <w:rsid w:val="001F4A90"/>
    <w:rsid w:val="001F6FBE"/>
    <w:rsid w:val="001F7442"/>
    <w:rsid w:val="00205E8F"/>
    <w:rsid w:val="00206718"/>
    <w:rsid w:val="00206927"/>
    <w:rsid w:val="00207C0F"/>
    <w:rsid w:val="0021176F"/>
    <w:rsid w:val="00213C2A"/>
    <w:rsid w:val="00216BA7"/>
    <w:rsid w:val="00223278"/>
    <w:rsid w:val="00224198"/>
    <w:rsid w:val="00225CE2"/>
    <w:rsid w:val="00225DA4"/>
    <w:rsid w:val="002273F4"/>
    <w:rsid w:val="00230EAB"/>
    <w:rsid w:val="00231704"/>
    <w:rsid w:val="002320BD"/>
    <w:rsid w:val="00236B1A"/>
    <w:rsid w:val="00241077"/>
    <w:rsid w:val="00243083"/>
    <w:rsid w:val="00245E84"/>
    <w:rsid w:val="00247AAF"/>
    <w:rsid w:val="0025203A"/>
    <w:rsid w:val="00253A82"/>
    <w:rsid w:val="00254983"/>
    <w:rsid w:val="00254BA2"/>
    <w:rsid w:val="002551B2"/>
    <w:rsid w:val="002572EF"/>
    <w:rsid w:val="00263DFB"/>
    <w:rsid w:val="00264823"/>
    <w:rsid w:val="00264927"/>
    <w:rsid w:val="002654CC"/>
    <w:rsid w:val="0026682F"/>
    <w:rsid w:val="0026721E"/>
    <w:rsid w:val="00270DF6"/>
    <w:rsid w:val="00270F47"/>
    <w:rsid w:val="002728B6"/>
    <w:rsid w:val="00274895"/>
    <w:rsid w:val="002757CA"/>
    <w:rsid w:val="00275B34"/>
    <w:rsid w:val="00275D13"/>
    <w:rsid w:val="00276D29"/>
    <w:rsid w:val="002822E8"/>
    <w:rsid w:val="002861B8"/>
    <w:rsid w:val="00292D6F"/>
    <w:rsid w:val="00294BED"/>
    <w:rsid w:val="00295DD1"/>
    <w:rsid w:val="002A07B2"/>
    <w:rsid w:val="002A1FCF"/>
    <w:rsid w:val="002A23B7"/>
    <w:rsid w:val="002A29EB"/>
    <w:rsid w:val="002A5DEB"/>
    <w:rsid w:val="002A6139"/>
    <w:rsid w:val="002A662B"/>
    <w:rsid w:val="002A66C3"/>
    <w:rsid w:val="002B1E3C"/>
    <w:rsid w:val="002B30BC"/>
    <w:rsid w:val="002B5AEA"/>
    <w:rsid w:val="002B61C0"/>
    <w:rsid w:val="002C1AC6"/>
    <w:rsid w:val="002C4639"/>
    <w:rsid w:val="002C4B47"/>
    <w:rsid w:val="002C5C21"/>
    <w:rsid w:val="002C5D18"/>
    <w:rsid w:val="002C652D"/>
    <w:rsid w:val="002D079D"/>
    <w:rsid w:val="002D2933"/>
    <w:rsid w:val="002D503A"/>
    <w:rsid w:val="002E0070"/>
    <w:rsid w:val="002E295B"/>
    <w:rsid w:val="002E321E"/>
    <w:rsid w:val="002E7AC4"/>
    <w:rsid w:val="002E7C3A"/>
    <w:rsid w:val="002F092B"/>
    <w:rsid w:val="002F1A6F"/>
    <w:rsid w:val="002F37A7"/>
    <w:rsid w:val="002F48CB"/>
    <w:rsid w:val="0030126B"/>
    <w:rsid w:val="003015F2"/>
    <w:rsid w:val="00302AAA"/>
    <w:rsid w:val="00302B80"/>
    <w:rsid w:val="00303779"/>
    <w:rsid w:val="00306801"/>
    <w:rsid w:val="003139F0"/>
    <w:rsid w:val="00315D01"/>
    <w:rsid w:val="00317F5C"/>
    <w:rsid w:val="00321A39"/>
    <w:rsid w:val="0032263E"/>
    <w:rsid w:val="00325C4D"/>
    <w:rsid w:val="00327255"/>
    <w:rsid w:val="00330741"/>
    <w:rsid w:val="0033128A"/>
    <w:rsid w:val="00331512"/>
    <w:rsid w:val="00332BE7"/>
    <w:rsid w:val="003346C0"/>
    <w:rsid w:val="00336CDA"/>
    <w:rsid w:val="00341489"/>
    <w:rsid w:val="00343328"/>
    <w:rsid w:val="003441BD"/>
    <w:rsid w:val="003455AD"/>
    <w:rsid w:val="00345AC0"/>
    <w:rsid w:val="00345EF4"/>
    <w:rsid w:val="00351430"/>
    <w:rsid w:val="003559B1"/>
    <w:rsid w:val="00355EB3"/>
    <w:rsid w:val="003601CA"/>
    <w:rsid w:val="00361FBA"/>
    <w:rsid w:val="00366611"/>
    <w:rsid w:val="00366B99"/>
    <w:rsid w:val="00367406"/>
    <w:rsid w:val="00370876"/>
    <w:rsid w:val="00370BC7"/>
    <w:rsid w:val="00372176"/>
    <w:rsid w:val="0037255E"/>
    <w:rsid w:val="00374201"/>
    <w:rsid w:val="00374345"/>
    <w:rsid w:val="0037786B"/>
    <w:rsid w:val="00380C04"/>
    <w:rsid w:val="00381C74"/>
    <w:rsid w:val="0038533E"/>
    <w:rsid w:val="003856C1"/>
    <w:rsid w:val="00394227"/>
    <w:rsid w:val="003946E8"/>
    <w:rsid w:val="00394F9B"/>
    <w:rsid w:val="00397D11"/>
    <w:rsid w:val="003A0159"/>
    <w:rsid w:val="003A08F7"/>
    <w:rsid w:val="003A0B29"/>
    <w:rsid w:val="003A1014"/>
    <w:rsid w:val="003A2030"/>
    <w:rsid w:val="003A2188"/>
    <w:rsid w:val="003A2DC0"/>
    <w:rsid w:val="003A551F"/>
    <w:rsid w:val="003B261E"/>
    <w:rsid w:val="003B48AF"/>
    <w:rsid w:val="003B663C"/>
    <w:rsid w:val="003C11B4"/>
    <w:rsid w:val="003C5862"/>
    <w:rsid w:val="003C5FE1"/>
    <w:rsid w:val="003C7095"/>
    <w:rsid w:val="003D04A7"/>
    <w:rsid w:val="003D214F"/>
    <w:rsid w:val="003D3D98"/>
    <w:rsid w:val="003E0622"/>
    <w:rsid w:val="003E190D"/>
    <w:rsid w:val="003E202B"/>
    <w:rsid w:val="003E2120"/>
    <w:rsid w:val="003E2EDB"/>
    <w:rsid w:val="003E381C"/>
    <w:rsid w:val="003E4CDB"/>
    <w:rsid w:val="003E589B"/>
    <w:rsid w:val="003E5FE9"/>
    <w:rsid w:val="003F1BA0"/>
    <w:rsid w:val="003F2402"/>
    <w:rsid w:val="003F3961"/>
    <w:rsid w:val="003F3C96"/>
    <w:rsid w:val="003F5906"/>
    <w:rsid w:val="003F71C3"/>
    <w:rsid w:val="00401A7A"/>
    <w:rsid w:val="00402F49"/>
    <w:rsid w:val="00403360"/>
    <w:rsid w:val="00407605"/>
    <w:rsid w:val="004111AF"/>
    <w:rsid w:val="004133B9"/>
    <w:rsid w:val="00417358"/>
    <w:rsid w:val="004175CC"/>
    <w:rsid w:val="00420DBF"/>
    <w:rsid w:val="00423C9A"/>
    <w:rsid w:val="004243C1"/>
    <w:rsid w:val="004257E8"/>
    <w:rsid w:val="00426265"/>
    <w:rsid w:val="004305AC"/>
    <w:rsid w:val="0043193A"/>
    <w:rsid w:val="004319E1"/>
    <w:rsid w:val="00435C13"/>
    <w:rsid w:val="00437028"/>
    <w:rsid w:val="00437B17"/>
    <w:rsid w:val="0044147D"/>
    <w:rsid w:val="004544AE"/>
    <w:rsid w:val="00454650"/>
    <w:rsid w:val="00454BFF"/>
    <w:rsid w:val="00455E45"/>
    <w:rsid w:val="00456C09"/>
    <w:rsid w:val="00457B5B"/>
    <w:rsid w:val="00460727"/>
    <w:rsid w:val="00463D4A"/>
    <w:rsid w:val="00463E8D"/>
    <w:rsid w:val="00465249"/>
    <w:rsid w:val="00465C6C"/>
    <w:rsid w:val="004675B6"/>
    <w:rsid w:val="004705BC"/>
    <w:rsid w:val="004742CB"/>
    <w:rsid w:val="00480CA5"/>
    <w:rsid w:val="0048376C"/>
    <w:rsid w:val="004838D8"/>
    <w:rsid w:val="004842D0"/>
    <w:rsid w:val="00484738"/>
    <w:rsid w:val="004847AE"/>
    <w:rsid w:val="00484B76"/>
    <w:rsid w:val="00490816"/>
    <w:rsid w:val="004908E1"/>
    <w:rsid w:val="004957AD"/>
    <w:rsid w:val="00496F52"/>
    <w:rsid w:val="00497F2D"/>
    <w:rsid w:val="004A0434"/>
    <w:rsid w:val="004A0C29"/>
    <w:rsid w:val="004A3339"/>
    <w:rsid w:val="004A3D40"/>
    <w:rsid w:val="004A6979"/>
    <w:rsid w:val="004A75B4"/>
    <w:rsid w:val="004B09DD"/>
    <w:rsid w:val="004B0CF9"/>
    <w:rsid w:val="004B30AA"/>
    <w:rsid w:val="004B370A"/>
    <w:rsid w:val="004B5174"/>
    <w:rsid w:val="004B7224"/>
    <w:rsid w:val="004C0C2B"/>
    <w:rsid w:val="004C3858"/>
    <w:rsid w:val="004C51A1"/>
    <w:rsid w:val="004C555A"/>
    <w:rsid w:val="004C6B12"/>
    <w:rsid w:val="004C74CC"/>
    <w:rsid w:val="004D065F"/>
    <w:rsid w:val="004D0D3D"/>
    <w:rsid w:val="004D3AE3"/>
    <w:rsid w:val="004D3DDD"/>
    <w:rsid w:val="004D41BF"/>
    <w:rsid w:val="004D4C49"/>
    <w:rsid w:val="004D7109"/>
    <w:rsid w:val="004E042A"/>
    <w:rsid w:val="004E1CB4"/>
    <w:rsid w:val="004E479E"/>
    <w:rsid w:val="004F220C"/>
    <w:rsid w:val="004F2290"/>
    <w:rsid w:val="004F2893"/>
    <w:rsid w:val="004F3151"/>
    <w:rsid w:val="004F7081"/>
    <w:rsid w:val="004F72BF"/>
    <w:rsid w:val="004F7D5B"/>
    <w:rsid w:val="00500E15"/>
    <w:rsid w:val="00502029"/>
    <w:rsid w:val="0050254B"/>
    <w:rsid w:val="00502FEC"/>
    <w:rsid w:val="005030C5"/>
    <w:rsid w:val="005036F2"/>
    <w:rsid w:val="00503A82"/>
    <w:rsid w:val="00505029"/>
    <w:rsid w:val="00505D94"/>
    <w:rsid w:val="00506868"/>
    <w:rsid w:val="005072A8"/>
    <w:rsid w:val="00507E12"/>
    <w:rsid w:val="005130EE"/>
    <w:rsid w:val="00515348"/>
    <w:rsid w:val="00515958"/>
    <w:rsid w:val="00520300"/>
    <w:rsid w:val="005213E1"/>
    <w:rsid w:val="00522643"/>
    <w:rsid w:val="005226B8"/>
    <w:rsid w:val="00522736"/>
    <w:rsid w:val="0052428C"/>
    <w:rsid w:val="005255FC"/>
    <w:rsid w:val="0052674E"/>
    <w:rsid w:val="005271FF"/>
    <w:rsid w:val="00527C02"/>
    <w:rsid w:val="00531782"/>
    <w:rsid w:val="0053217A"/>
    <w:rsid w:val="0053284E"/>
    <w:rsid w:val="0053298C"/>
    <w:rsid w:val="00534D9F"/>
    <w:rsid w:val="00535F9C"/>
    <w:rsid w:val="0053714F"/>
    <w:rsid w:val="00537DDD"/>
    <w:rsid w:val="0054053D"/>
    <w:rsid w:val="005456F9"/>
    <w:rsid w:val="00550268"/>
    <w:rsid w:val="00550937"/>
    <w:rsid w:val="00553885"/>
    <w:rsid w:val="00553B16"/>
    <w:rsid w:val="005600DC"/>
    <w:rsid w:val="00560120"/>
    <w:rsid w:val="00560329"/>
    <w:rsid w:val="0056168D"/>
    <w:rsid w:val="00563721"/>
    <w:rsid w:val="00564249"/>
    <w:rsid w:val="00564EA9"/>
    <w:rsid w:val="00566200"/>
    <w:rsid w:val="005669E1"/>
    <w:rsid w:val="00566E22"/>
    <w:rsid w:val="00567F24"/>
    <w:rsid w:val="00570699"/>
    <w:rsid w:val="00570E47"/>
    <w:rsid w:val="00573765"/>
    <w:rsid w:val="00573950"/>
    <w:rsid w:val="00573F03"/>
    <w:rsid w:val="0057419A"/>
    <w:rsid w:val="005741EE"/>
    <w:rsid w:val="00574A61"/>
    <w:rsid w:val="00577001"/>
    <w:rsid w:val="00580851"/>
    <w:rsid w:val="0058178D"/>
    <w:rsid w:val="00584413"/>
    <w:rsid w:val="00584D52"/>
    <w:rsid w:val="00586A88"/>
    <w:rsid w:val="00591E1C"/>
    <w:rsid w:val="00592713"/>
    <w:rsid w:val="0059286D"/>
    <w:rsid w:val="00592F8D"/>
    <w:rsid w:val="00593417"/>
    <w:rsid w:val="005947CC"/>
    <w:rsid w:val="005948BD"/>
    <w:rsid w:val="00594E24"/>
    <w:rsid w:val="005956C2"/>
    <w:rsid w:val="00596D4A"/>
    <w:rsid w:val="005A2524"/>
    <w:rsid w:val="005A2761"/>
    <w:rsid w:val="005A3057"/>
    <w:rsid w:val="005A3666"/>
    <w:rsid w:val="005A3D9E"/>
    <w:rsid w:val="005A4F4B"/>
    <w:rsid w:val="005A5024"/>
    <w:rsid w:val="005A517A"/>
    <w:rsid w:val="005A617C"/>
    <w:rsid w:val="005B107A"/>
    <w:rsid w:val="005B1DC2"/>
    <w:rsid w:val="005B58F6"/>
    <w:rsid w:val="005B7E77"/>
    <w:rsid w:val="005C4A5C"/>
    <w:rsid w:val="005C6C3D"/>
    <w:rsid w:val="005D332C"/>
    <w:rsid w:val="005D3CE3"/>
    <w:rsid w:val="005E000E"/>
    <w:rsid w:val="005E1B4C"/>
    <w:rsid w:val="005E2AF7"/>
    <w:rsid w:val="005E5ACC"/>
    <w:rsid w:val="005E6B2B"/>
    <w:rsid w:val="005F35FE"/>
    <w:rsid w:val="005F3F99"/>
    <w:rsid w:val="005F69EC"/>
    <w:rsid w:val="005F7D50"/>
    <w:rsid w:val="005F7F73"/>
    <w:rsid w:val="00601069"/>
    <w:rsid w:val="006060D8"/>
    <w:rsid w:val="006065A3"/>
    <w:rsid w:val="006067CC"/>
    <w:rsid w:val="00607109"/>
    <w:rsid w:val="00607C79"/>
    <w:rsid w:val="00610AB2"/>
    <w:rsid w:val="00612227"/>
    <w:rsid w:val="00615A56"/>
    <w:rsid w:val="0061601F"/>
    <w:rsid w:val="00620592"/>
    <w:rsid w:val="006228BA"/>
    <w:rsid w:val="0062405E"/>
    <w:rsid w:val="006240A6"/>
    <w:rsid w:val="00625036"/>
    <w:rsid w:val="0062660C"/>
    <w:rsid w:val="006266B9"/>
    <w:rsid w:val="00627B5C"/>
    <w:rsid w:val="00632601"/>
    <w:rsid w:val="00633BDF"/>
    <w:rsid w:val="006354F9"/>
    <w:rsid w:val="00636456"/>
    <w:rsid w:val="0064095D"/>
    <w:rsid w:val="00643661"/>
    <w:rsid w:val="0064459F"/>
    <w:rsid w:val="0065077C"/>
    <w:rsid w:val="00650FF7"/>
    <w:rsid w:val="00651DC7"/>
    <w:rsid w:val="006520C1"/>
    <w:rsid w:val="00653A05"/>
    <w:rsid w:val="0065427F"/>
    <w:rsid w:val="00654656"/>
    <w:rsid w:val="00661DD2"/>
    <w:rsid w:val="00661ED6"/>
    <w:rsid w:val="00661EEF"/>
    <w:rsid w:val="006633FB"/>
    <w:rsid w:val="00663B4C"/>
    <w:rsid w:val="00664C99"/>
    <w:rsid w:val="00665C8B"/>
    <w:rsid w:val="0066735A"/>
    <w:rsid w:val="00667828"/>
    <w:rsid w:val="006702C8"/>
    <w:rsid w:val="006708AB"/>
    <w:rsid w:val="00672B2E"/>
    <w:rsid w:val="00674735"/>
    <w:rsid w:val="00675D65"/>
    <w:rsid w:val="00680B4E"/>
    <w:rsid w:val="00681072"/>
    <w:rsid w:val="006849E0"/>
    <w:rsid w:val="00684D7F"/>
    <w:rsid w:val="00685A5E"/>
    <w:rsid w:val="00686C70"/>
    <w:rsid w:val="00691330"/>
    <w:rsid w:val="0069238D"/>
    <w:rsid w:val="00692962"/>
    <w:rsid w:val="00692C1F"/>
    <w:rsid w:val="0069328F"/>
    <w:rsid w:val="0069524F"/>
    <w:rsid w:val="00697359"/>
    <w:rsid w:val="006A0D7C"/>
    <w:rsid w:val="006A400F"/>
    <w:rsid w:val="006A613C"/>
    <w:rsid w:val="006B00C0"/>
    <w:rsid w:val="006B17C0"/>
    <w:rsid w:val="006B1AF3"/>
    <w:rsid w:val="006B3236"/>
    <w:rsid w:val="006B6CF4"/>
    <w:rsid w:val="006C1C06"/>
    <w:rsid w:val="006C1CD9"/>
    <w:rsid w:val="006C3F48"/>
    <w:rsid w:val="006C45F6"/>
    <w:rsid w:val="006D26EF"/>
    <w:rsid w:val="006D2959"/>
    <w:rsid w:val="006D39F1"/>
    <w:rsid w:val="006D6C87"/>
    <w:rsid w:val="006E0CCD"/>
    <w:rsid w:val="006E4333"/>
    <w:rsid w:val="006E5ACA"/>
    <w:rsid w:val="006E5CEF"/>
    <w:rsid w:val="006E62E4"/>
    <w:rsid w:val="006E6F3A"/>
    <w:rsid w:val="006F2FE6"/>
    <w:rsid w:val="006F3F67"/>
    <w:rsid w:val="006F4130"/>
    <w:rsid w:val="006F51EB"/>
    <w:rsid w:val="006F5E53"/>
    <w:rsid w:val="006F63CB"/>
    <w:rsid w:val="006F79D0"/>
    <w:rsid w:val="0070609C"/>
    <w:rsid w:val="007067AA"/>
    <w:rsid w:val="00706F44"/>
    <w:rsid w:val="00707DCD"/>
    <w:rsid w:val="00710A40"/>
    <w:rsid w:val="00711E3D"/>
    <w:rsid w:val="00711EF1"/>
    <w:rsid w:val="00714E6D"/>
    <w:rsid w:val="00715C48"/>
    <w:rsid w:val="007161F5"/>
    <w:rsid w:val="00716F4F"/>
    <w:rsid w:val="00717305"/>
    <w:rsid w:val="007173FC"/>
    <w:rsid w:val="00720AD9"/>
    <w:rsid w:val="00723833"/>
    <w:rsid w:val="00723FA5"/>
    <w:rsid w:val="0072754E"/>
    <w:rsid w:val="007361B5"/>
    <w:rsid w:val="007423B0"/>
    <w:rsid w:val="007434AD"/>
    <w:rsid w:val="00743A13"/>
    <w:rsid w:val="007458F4"/>
    <w:rsid w:val="00745C96"/>
    <w:rsid w:val="007502B0"/>
    <w:rsid w:val="007518AA"/>
    <w:rsid w:val="00751F5F"/>
    <w:rsid w:val="00755A33"/>
    <w:rsid w:val="0075669B"/>
    <w:rsid w:val="007614CD"/>
    <w:rsid w:val="00762CA0"/>
    <w:rsid w:val="0076378E"/>
    <w:rsid w:val="0076466C"/>
    <w:rsid w:val="00764F0A"/>
    <w:rsid w:val="00765DFD"/>
    <w:rsid w:val="00771A99"/>
    <w:rsid w:val="0077278F"/>
    <w:rsid w:val="0077616D"/>
    <w:rsid w:val="0077691E"/>
    <w:rsid w:val="007801A1"/>
    <w:rsid w:val="007828AC"/>
    <w:rsid w:val="00782B3B"/>
    <w:rsid w:val="00782FA0"/>
    <w:rsid w:val="007843DD"/>
    <w:rsid w:val="0079047A"/>
    <w:rsid w:val="007918A3"/>
    <w:rsid w:val="00791ABD"/>
    <w:rsid w:val="00792340"/>
    <w:rsid w:val="007926A6"/>
    <w:rsid w:val="00793D9D"/>
    <w:rsid w:val="007A098B"/>
    <w:rsid w:val="007A1F1F"/>
    <w:rsid w:val="007A33FA"/>
    <w:rsid w:val="007B1EDA"/>
    <w:rsid w:val="007B1F3F"/>
    <w:rsid w:val="007B28D2"/>
    <w:rsid w:val="007B3439"/>
    <w:rsid w:val="007B3B20"/>
    <w:rsid w:val="007C319F"/>
    <w:rsid w:val="007C35FD"/>
    <w:rsid w:val="007C5AB5"/>
    <w:rsid w:val="007C63A4"/>
    <w:rsid w:val="007C6EDE"/>
    <w:rsid w:val="007D1686"/>
    <w:rsid w:val="007D415A"/>
    <w:rsid w:val="007D4C4D"/>
    <w:rsid w:val="007D5D56"/>
    <w:rsid w:val="007D5E64"/>
    <w:rsid w:val="007D6EDF"/>
    <w:rsid w:val="007E09BE"/>
    <w:rsid w:val="007E2965"/>
    <w:rsid w:val="007E4CFA"/>
    <w:rsid w:val="007E51BF"/>
    <w:rsid w:val="007E67CB"/>
    <w:rsid w:val="007E7424"/>
    <w:rsid w:val="007F1C1D"/>
    <w:rsid w:val="007F3DD1"/>
    <w:rsid w:val="007F5616"/>
    <w:rsid w:val="007F5898"/>
    <w:rsid w:val="007F5DEF"/>
    <w:rsid w:val="007F65ED"/>
    <w:rsid w:val="007F6BDB"/>
    <w:rsid w:val="00800005"/>
    <w:rsid w:val="0080132A"/>
    <w:rsid w:val="00802B15"/>
    <w:rsid w:val="00805E39"/>
    <w:rsid w:val="008072F1"/>
    <w:rsid w:val="0080745E"/>
    <w:rsid w:val="00813022"/>
    <w:rsid w:val="00814100"/>
    <w:rsid w:val="00814601"/>
    <w:rsid w:val="00817D9B"/>
    <w:rsid w:val="00822E46"/>
    <w:rsid w:val="0082331F"/>
    <w:rsid w:val="00823DE4"/>
    <w:rsid w:val="0082422F"/>
    <w:rsid w:val="00826AB7"/>
    <w:rsid w:val="00830A25"/>
    <w:rsid w:val="008312EE"/>
    <w:rsid w:val="00831495"/>
    <w:rsid w:val="0083149D"/>
    <w:rsid w:val="00831D73"/>
    <w:rsid w:val="00833544"/>
    <w:rsid w:val="00835642"/>
    <w:rsid w:val="00840017"/>
    <w:rsid w:val="00841E17"/>
    <w:rsid w:val="00844281"/>
    <w:rsid w:val="008463A6"/>
    <w:rsid w:val="00846B91"/>
    <w:rsid w:val="00850939"/>
    <w:rsid w:val="00850D75"/>
    <w:rsid w:val="00851028"/>
    <w:rsid w:val="008524DE"/>
    <w:rsid w:val="008528C6"/>
    <w:rsid w:val="00857EA9"/>
    <w:rsid w:val="0086063E"/>
    <w:rsid w:val="0086097F"/>
    <w:rsid w:val="008617DC"/>
    <w:rsid w:val="00862FAC"/>
    <w:rsid w:val="00864424"/>
    <w:rsid w:val="008653EE"/>
    <w:rsid w:val="00865625"/>
    <w:rsid w:val="00866118"/>
    <w:rsid w:val="00867DDB"/>
    <w:rsid w:val="0087179B"/>
    <w:rsid w:val="008722E8"/>
    <w:rsid w:val="008728CB"/>
    <w:rsid w:val="00873F06"/>
    <w:rsid w:val="0087439A"/>
    <w:rsid w:val="008743AF"/>
    <w:rsid w:val="008749B3"/>
    <w:rsid w:val="008818CB"/>
    <w:rsid w:val="00884B12"/>
    <w:rsid w:val="00884E47"/>
    <w:rsid w:val="008851EE"/>
    <w:rsid w:val="008856C4"/>
    <w:rsid w:val="0089042C"/>
    <w:rsid w:val="00892E27"/>
    <w:rsid w:val="0089305D"/>
    <w:rsid w:val="00895ABD"/>
    <w:rsid w:val="008A0F8E"/>
    <w:rsid w:val="008A17D3"/>
    <w:rsid w:val="008A1A1F"/>
    <w:rsid w:val="008A224A"/>
    <w:rsid w:val="008A533F"/>
    <w:rsid w:val="008A780B"/>
    <w:rsid w:val="008B160B"/>
    <w:rsid w:val="008B5A06"/>
    <w:rsid w:val="008B64E3"/>
    <w:rsid w:val="008B7CDC"/>
    <w:rsid w:val="008B7EB6"/>
    <w:rsid w:val="008B7F79"/>
    <w:rsid w:val="008C25C3"/>
    <w:rsid w:val="008C6109"/>
    <w:rsid w:val="008C65C9"/>
    <w:rsid w:val="008C7226"/>
    <w:rsid w:val="008D3916"/>
    <w:rsid w:val="008D687E"/>
    <w:rsid w:val="008D6A5E"/>
    <w:rsid w:val="008D72D1"/>
    <w:rsid w:val="008E2179"/>
    <w:rsid w:val="008E21D4"/>
    <w:rsid w:val="008E35E7"/>
    <w:rsid w:val="008E6BEA"/>
    <w:rsid w:val="008F1CA3"/>
    <w:rsid w:val="008F392D"/>
    <w:rsid w:val="008F5D60"/>
    <w:rsid w:val="008F6377"/>
    <w:rsid w:val="008F789F"/>
    <w:rsid w:val="009004E5"/>
    <w:rsid w:val="00900512"/>
    <w:rsid w:val="009024B3"/>
    <w:rsid w:val="00902A75"/>
    <w:rsid w:val="00915A93"/>
    <w:rsid w:val="00921C48"/>
    <w:rsid w:val="009226B1"/>
    <w:rsid w:val="0092289A"/>
    <w:rsid w:val="00922FBC"/>
    <w:rsid w:val="009265F3"/>
    <w:rsid w:val="009301C9"/>
    <w:rsid w:val="00932557"/>
    <w:rsid w:val="00932A67"/>
    <w:rsid w:val="0093376D"/>
    <w:rsid w:val="009352F1"/>
    <w:rsid w:val="00936706"/>
    <w:rsid w:val="009401A6"/>
    <w:rsid w:val="00942C2E"/>
    <w:rsid w:val="00943520"/>
    <w:rsid w:val="00943F20"/>
    <w:rsid w:val="00944741"/>
    <w:rsid w:val="00945B34"/>
    <w:rsid w:val="00946109"/>
    <w:rsid w:val="00953178"/>
    <w:rsid w:val="009536D9"/>
    <w:rsid w:val="00953D3D"/>
    <w:rsid w:val="00953D45"/>
    <w:rsid w:val="009555B1"/>
    <w:rsid w:val="00955879"/>
    <w:rsid w:val="00956878"/>
    <w:rsid w:val="00957144"/>
    <w:rsid w:val="00960C49"/>
    <w:rsid w:val="00964709"/>
    <w:rsid w:val="009667FA"/>
    <w:rsid w:val="00971190"/>
    <w:rsid w:val="00971C9F"/>
    <w:rsid w:val="00973C22"/>
    <w:rsid w:val="00973CD3"/>
    <w:rsid w:val="00974B81"/>
    <w:rsid w:val="00975167"/>
    <w:rsid w:val="00975ACF"/>
    <w:rsid w:val="009775F9"/>
    <w:rsid w:val="00977B6A"/>
    <w:rsid w:val="00981171"/>
    <w:rsid w:val="00981CCA"/>
    <w:rsid w:val="00983808"/>
    <w:rsid w:val="00984056"/>
    <w:rsid w:val="00984120"/>
    <w:rsid w:val="0098418D"/>
    <w:rsid w:val="00987BAA"/>
    <w:rsid w:val="00990417"/>
    <w:rsid w:val="00991887"/>
    <w:rsid w:val="0099209A"/>
    <w:rsid w:val="00992E6B"/>
    <w:rsid w:val="009931DC"/>
    <w:rsid w:val="009931E9"/>
    <w:rsid w:val="0099415A"/>
    <w:rsid w:val="00994649"/>
    <w:rsid w:val="00996930"/>
    <w:rsid w:val="0099764E"/>
    <w:rsid w:val="009A112C"/>
    <w:rsid w:val="009A4420"/>
    <w:rsid w:val="009A5753"/>
    <w:rsid w:val="009A5DB1"/>
    <w:rsid w:val="009A5F9F"/>
    <w:rsid w:val="009B323D"/>
    <w:rsid w:val="009B5F02"/>
    <w:rsid w:val="009C0CB2"/>
    <w:rsid w:val="009C0F3E"/>
    <w:rsid w:val="009C3540"/>
    <w:rsid w:val="009C4A7E"/>
    <w:rsid w:val="009C58FD"/>
    <w:rsid w:val="009C5DFF"/>
    <w:rsid w:val="009C6544"/>
    <w:rsid w:val="009C7EF7"/>
    <w:rsid w:val="009D1EB9"/>
    <w:rsid w:val="009D586B"/>
    <w:rsid w:val="009D644E"/>
    <w:rsid w:val="009D723F"/>
    <w:rsid w:val="009E3414"/>
    <w:rsid w:val="009F01AD"/>
    <w:rsid w:val="009F227F"/>
    <w:rsid w:val="009F41A9"/>
    <w:rsid w:val="009F4987"/>
    <w:rsid w:val="009F56B8"/>
    <w:rsid w:val="00A00E54"/>
    <w:rsid w:val="00A04D82"/>
    <w:rsid w:val="00A057CB"/>
    <w:rsid w:val="00A05AC4"/>
    <w:rsid w:val="00A063F9"/>
    <w:rsid w:val="00A0787D"/>
    <w:rsid w:val="00A10CB1"/>
    <w:rsid w:val="00A11460"/>
    <w:rsid w:val="00A13F59"/>
    <w:rsid w:val="00A16133"/>
    <w:rsid w:val="00A16EEF"/>
    <w:rsid w:val="00A211BD"/>
    <w:rsid w:val="00A2120A"/>
    <w:rsid w:val="00A21F4C"/>
    <w:rsid w:val="00A238DC"/>
    <w:rsid w:val="00A24FAD"/>
    <w:rsid w:val="00A251E6"/>
    <w:rsid w:val="00A257DE"/>
    <w:rsid w:val="00A3358B"/>
    <w:rsid w:val="00A35DA0"/>
    <w:rsid w:val="00A36476"/>
    <w:rsid w:val="00A37AED"/>
    <w:rsid w:val="00A37F99"/>
    <w:rsid w:val="00A40304"/>
    <w:rsid w:val="00A41B3E"/>
    <w:rsid w:val="00A41D49"/>
    <w:rsid w:val="00A42966"/>
    <w:rsid w:val="00A439E6"/>
    <w:rsid w:val="00A457EB"/>
    <w:rsid w:val="00A4675F"/>
    <w:rsid w:val="00A47F46"/>
    <w:rsid w:val="00A5065D"/>
    <w:rsid w:val="00A508B5"/>
    <w:rsid w:val="00A519A6"/>
    <w:rsid w:val="00A52619"/>
    <w:rsid w:val="00A54FA5"/>
    <w:rsid w:val="00A55AD6"/>
    <w:rsid w:val="00A56604"/>
    <w:rsid w:val="00A56A1C"/>
    <w:rsid w:val="00A5705A"/>
    <w:rsid w:val="00A57836"/>
    <w:rsid w:val="00A71EC4"/>
    <w:rsid w:val="00A728E8"/>
    <w:rsid w:val="00A74B06"/>
    <w:rsid w:val="00A75578"/>
    <w:rsid w:val="00A76492"/>
    <w:rsid w:val="00A767C8"/>
    <w:rsid w:val="00A808A0"/>
    <w:rsid w:val="00A80D68"/>
    <w:rsid w:val="00A827C1"/>
    <w:rsid w:val="00A83307"/>
    <w:rsid w:val="00A83BE2"/>
    <w:rsid w:val="00A85647"/>
    <w:rsid w:val="00A861AC"/>
    <w:rsid w:val="00A867AF"/>
    <w:rsid w:val="00A8769C"/>
    <w:rsid w:val="00A91E74"/>
    <w:rsid w:val="00A94C5B"/>
    <w:rsid w:val="00A95ED9"/>
    <w:rsid w:val="00A96ED8"/>
    <w:rsid w:val="00AA08CF"/>
    <w:rsid w:val="00AA1D61"/>
    <w:rsid w:val="00AA218D"/>
    <w:rsid w:val="00AA2E56"/>
    <w:rsid w:val="00AA3F58"/>
    <w:rsid w:val="00AA42BA"/>
    <w:rsid w:val="00AA52DC"/>
    <w:rsid w:val="00AA7A50"/>
    <w:rsid w:val="00AB24E3"/>
    <w:rsid w:val="00AB264F"/>
    <w:rsid w:val="00AB3A96"/>
    <w:rsid w:val="00AB41B5"/>
    <w:rsid w:val="00AB4B16"/>
    <w:rsid w:val="00AB5A35"/>
    <w:rsid w:val="00AC13AF"/>
    <w:rsid w:val="00AC558D"/>
    <w:rsid w:val="00AC7CD4"/>
    <w:rsid w:val="00AD1410"/>
    <w:rsid w:val="00AD247F"/>
    <w:rsid w:val="00AD542A"/>
    <w:rsid w:val="00AD73B8"/>
    <w:rsid w:val="00AE52C8"/>
    <w:rsid w:val="00AE7475"/>
    <w:rsid w:val="00AF072E"/>
    <w:rsid w:val="00AF0978"/>
    <w:rsid w:val="00AF10BA"/>
    <w:rsid w:val="00AF4296"/>
    <w:rsid w:val="00AF7FE8"/>
    <w:rsid w:val="00B00D3D"/>
    <w:rsid w:val="00B02277"/>
    <w:rsid w:val="00B024E0"/>
    <w:rsid w:val="00B02ACD"/>
    <w:rsid w:val="00B02E0B"/>
    <w:rsid w:val="00B0385D"/>
    <w:rsid w:val="00B06AF0"/>
    <w:rsid w:val="00B07462"/>
    <w:rsid w:val="00B07C5B"/>
    <w:rsid w:val="00B109C9"/>
    <w:rsid w:val="00B12266"/>
    <w:rsid w:val="00B13396"/>
    <w:rsid w:val="00B14E43"/>
    <w:rsid w:val="00B15126"/>
    <w:rsid w:val="00B151F8"/>
    <w:rsid w:val="00B154F4"/>
    <w:rsid w:val="00B155B9"/>
    <w:rsid w:val="00B15EAB"/>
    <w:rsid w:val="00B20C5F"/>
    <w:rsid w:val="00B22A94"/>
    <w:rsid w:val="00B22C3B"/>
    <w:rsid w:val="00B24766"/>
    <w:rsid w:val="00B26479"/>
    <w:rsid w:val="00B264CE"/>
    <w:rsid w:val="00B27DC3"/>
    <w:rsid w:val="00B34245"/>
    <w:rsid w:val="00B3460E"/>
    <w:rsid w:val="00B357DE"/>
    <w:rsid w:val="00B35E3E"/>
    <w:rsid w:val="00B401DB"/>
    <w:rsid w:val="00B40E47"/>
    <w:rsid w:val="00B41BFF"/>
    <w:rsid w:val="00B43E89"/>
    <w:rsid w:val="00B44945"/>
    <w:rsid w:val="00B476D3"/>
    <w:rsid w:val="00B47A08"/>
    <w:rsid w:val="00B500AF"/>
    <w:rsid w:val="00B506DD"/>
    <w:rsid w:val="00B5097A"/>
    <w:rsid w:val="00B51C01"/>
    <w:rsid w:val="00B52465"/>
    <w:rsid w:val="00B52FB1"/>
    <w:rsid w:val="00B5301C"/>
    <w:rsid w:val="00B530CB"/>
    <w:rsid w:val="00B53354"/>
    <w:rsid w:val="00B56650"/>
    <w:rsid w:val="00B57567"/>
    <w:rsid w:val="00B5780A"/>
    <w:rsid w:val="00B605AC"/>
    <w:rsid w:val="00B60B66"/>
    <w:rsid w:val="00B60DA7"/>
    <w:rsid w:val="00B64C43"/>
    <w:rsid w:val="00B65BEF"/>
    <w:rsid w:val="00B662FF"/>
    <w:rsid w:val="00B6663E"/>
    <w:rsid w:val="00B671F6"/>
    <w:rsid w:val="00B677F3"/>
    <w:rsid w:val="00B71820"/>
    <w:rsid w:val="00B7673C"/>
    <w:rsid w:val="00B76E34"/>
    <w:rsid w:val="00B77037"/>
    <w:rsid w:val="00B81791"/>
    <w:rsid w:val="00B83461"/>
    <w:rsid w:val="00B83C7A"/>
    <w:rsid w:val="00B84291"/>
    <w:rsid w:val="00B85E24"/>
    <w:rsid w:val="00B8638E"/>
    <w:rsid w:val="00B86E75"/>
    <w:rsid w:val="00B8757C"/>
    <w:rsid w:val="00B87DD9"/>
    <w:rsid w:val="00B94A4A"/>
    <w:rsid w:val="00B955A2"/>
    <w:rsid w:val="00B9655A"/>
    <w:rsid w:val="00B970E2"/>
    <w:rsid w:val="00BA0147"/>
    <w:rsid w:val="00BA4509"/>
    <w:rsid w:val="00BB1C85"/>
    <w:rsid w:val="00BB2765"/>
    <w:rsid w:val="00BB4DDB"/>
    <w:rsid w:val="00BB54EA"/>
    <w:rsid w:val="00BB5834"/>
    <w:rsid w:val="00BC07F5"/>
    <w:rsid w:val="00BC099E"/>
    <w:rsid w:val="00BC1AA0"/>
    <w:rsid w:val="00BC23BD"/>
    <w:rsid w:val="00BC4580"/>
    <w:rsid w:val="00BC5EE0"/>
    <w:rsid w:val="00BC6A95"/>
    <w:rsid w:val="00BC75DC"/>
    <w:rsid w:val="00BC7745"/>
    <w:rsid w:val="00BD4777"/>
    <w:rsid w:val="00BD4D46"/>
    <w:rsid w:val="00BE1596"/>
    <w:rsid w:val="00BE1CE3"/>
    <w:rsid w:val="00BE2A1A"/>
    <w:rsid w:val="00BE3B1B"/>
    <w:rsid w:val="00BE42FD"/>
    <w:rsid w:val="00BE460C"/>
    <w:rsid w:val="00BE587D"/>
    <w:rsid w:val="00BE6379"/>
    <w:rsid w:val="00BF14E6"/>
    <w:rsid w:val="00BF22D3"/>
    <w:rsid w:val="00BF40C4"/>
    <w:rsid w:val="00BF46BE"/>
    <w:rsid w:val="00BF6006"/>
    <w:rsid w:val="00BF6A6E"/>
    <w:rsid w:val="00C00668"/>
    <w:rsid w:val="00C00BDD"/>
    <w:rsid w:val="00C0153D"/>
    <w:rsid w:val="00C01584"/>
    <w:rsid w:val="00C0169D"/>
    <w:rsid w:val="00C01CB9"/>
    <w:rsid w:val="00C01F28"/>
    <w:rsid w:val="00C035C2"/>
    <w:rsid w:val="00C0445B"/>
    <w:rsid w:val="00C0517B"/>
    <w:rsid w:val="00C0568D"/>
    <w:rsid w:val="00C05FB2"/>
    <w:rsid w:val="00C0620A"/>
    <w:rsid w:val="00C073A8"/>
    <w:rsid w:val="00C0791E"/>
    <w:rsid w:val="00C10FDC"/>
    <w:rsid w:val="00C1145D"/>
    <w:rsid w:val="00C1272B"/>
    <w:rsid w:val="00C13744"/>
    <w:rsid w:val="00C17BD7"/>
    <w:rsid w:val="00C20E4C"/>
    <w:rsid w:val="00C2195B"/>
    <w:rsid w:val="00C238F9"/>
    <w:rsid w:val="00C243C4"/>
    <w:rsid w:val="00C304C1"/>
    <w:rsid w:val="00C32CCB"/>
    <w:rsid w:val="00C34C09"/>
    <w:rsid w:val="00C35441"/>
    <w:rsid w:val="00C35669"/>
    <w:rsid w:val="00C36AFF"/>
    <w:rsid w:val="00C42498"/>
    <w:rsid w:val="00C43D4F"/>
    <w:rsid w:val="00C43F0F"/>
    <w:rsid w:val="00C445E8"/>
    <w:rsid w:val="00C4557B"/>
    <w:rsid w:val="00C45A78"/>
    <w:rsid w:val="00C46592"/>
    <w:rsid w:val="00C515C8"/>
    <w:rsid w:val="00C52218"/>
    <w:rsid w:val="00C55554"/>
    <w:rsid w:val="00C55E09"/>
    <w:rsid w:val="00C57330"/>
    <w:rsid w:val="00C5769C"/>
    <w:rsid w:val="00C600D6"/>
    <w:rsid w:val="00C60C65"/>
    <w:rsid w:val="00C612FF"/>
    <w:rsid w:val="00C64997"/>
    <w:rsid w:val="00C6530D"/>
    <w:rsid w:val="00C65D38"/>
    <w:rsid w:val="00C70E7B"/>
    <w:rsid w:val="00C72027"/>
    <w:rsid w:val="00C725CB"/>
    <w:rsid w:val="00C73433"/>
    <w:rsid w:val="00C74BEF"/>
    <w:rsid w:val="00C758CF"/>
    <w:rsid w:val="00C77F87"/>
    <w:rsid w:val="00C82300"/>
    <w:rsid w:val="00C8242D"/>
    <w:rsid w:val="00C86DF4"/>
    <w:rsid w:val="00C871EC"/>
    <w:rsid w:val="00C87AFD"/>
    <w:rsid w:val="00C91374"/>
    <w:rsid w:val="00C9208C"/>
    <w:rsid w:val="00C92724"/>
    <w:rsid w:val="00C950EA"/>
    <w:rsid w:val="00CA1610"/>
    <w:rsid w:val="00CA20C8"/>
    <w:rsid w:val="00CA30CD"/>
    <w:rsid w:val="00CA3BB9"/>
    <w:rsid w:val="00CA3FAA"/>
    <w:rsid w:val="00CA4F26"/>
    <w:rsid w:val="00CA73B5"/>
    <w:rsid w:val="00CB02D9"/>
    <w:rsid w:val="00CB1579"/>
    <w:rsid w:val="00CB17C2"/>
    <w:rsid w:val="00CB2C70"/>
    <w:rsid w:val="00CB2F6B"/>
    <w:rsid w:val="00CB68F3"/>
    <w:rsid w:val="00CC036A"/>
    <w:rsid w:val="00CC0E7C"/>
    <w:rsid w:val="00CC308B"/>
    <w:rsid w:val="00CC3945"/>
    <w:rsid w:val="00CC3CBA"/>
    <w:rsid w:val="00CC490B"/>
    <w:rsid w:val="00CD00CF"/>
    <w:rsid w:val="00CD019A"/>
    <w:rsid w:val="00CD2036"/>
    <w:rsid w:val="00CD2D10"/>
    <w:rsid w:val="00CD3602"/>
    <w:rsid w:val="00CD5612"/>
    <w:rsid w:val="00CD5B7A"/>
    <w:rsid w:val="00CD6800"/>
    <w:rsid w:val="00CD6BFF"/>
    <w:rsid w:val="00CD7886"/>
    <w:rsid w:val="00CD78E9"/>
    <w:rsid w:val="00CE05C8"/>
    <w:rsid w:val="00CE1854"/>
    <w:rsid w:val="00CE1B30"/>
    <w:rsid w:val="00CE2D9C"/>
    <w:rsid w:val="00CE30F2"/>
    <w:rsid w:val="00CE47C7"/>
    <w:rsid w:val="00CE48C0"/>
    <w:rsid w:val="00CE5F1D"/>
    <w:rsid w:val="00CE5FD5"/>
    <w:rsid w:val="00CE61A0"/>
    <w:rsid w:val="00CF2D5C"/>
    <w:rsid w:val="00CF3901"/>
    <w:rsid w:val="00CF3BE4"/>
    <w:rsid w:val="00CF7736"/>
    <w:rsid w:val="00CF7907"/>
    <w:rsid w:val="00D014B0"/>
    <w:rsid w:val="00D02BE5"/>
    <w:rsid w:val="00D03342"/>
    <w:rsid w:val="00D07E28"/>
    <w:rsid w:val="00D105A9"/>
    <w:rsid w:val="00D10DB7"/>
    <w:rsid w:val="00D124AE"/>
    <w:rsid w:val="00D1349C"/>
    <w:rsid w:val="00D150CD"/>
    <w:rsid w:val="00D21066"/>
    <w:rsid w:val="00D23BF5"/>
    <w:rsid w:val="00D24C1A"/>
    <w:rsid w:val="00D259F8"/>
    <w:rsid w:val="00D26590"/>
    <w:rsid w:val="00D26F69"/>
    <w:rsid w:val="00D26FA1"/>
    <w:rsid w:val="00D2785B"/>
    <w:rsid w:val="00D3185D"/>
    <w:rsid w:val="00D3233B"/>
    <w:rsid w:val="00D33836"/>
    <w:rsid w:val="00D34BCD"/>
    <w:rsid w:val="00D34D48"/>
    <w:rsid w:val="00D352F6"/>
    <w:rsid w:val="00D3641E"/>
    <w:rsid w:val="00D37841"/>
    <w:rsid w:val="00D40A54"/>
    <w:rsid w:val="00D40C22"/>
    <w:rsid w:val="00D43381"/>
    <w:rsid w:val="00D45EDA"/>
    <w:rsid w:val="00D466B1"/>
    <w:rsid w:val="00D4712A"/>
    <w:rsid w:val="00D4734B"/>
    <w:rsid w:val="00D516D5"/>
    <w:rsid w:val="00D52BE7"/>
    <w:rsid w:val="00D55AA4"/>
    <w:rsid w:val="00D57F9C"/>
    <w:rsid w:val="00D63CBA"/>
    <w:rsid w:val="00D63E51"/>
    <w:rsid w:val="00D65570"/>
    <w:rsid w:val="00D7021A"/>
    <w:rsid w:val="00D71F77"/>
    <w:rsid w:val="00D734E7"/>
    <w:rsid w:val="00D77A1E"/>
    <w:rsid w:val="00D80FC3"/>
    <w:rsid w:val="00D81573"/>
    <w:rsid w:val="00D823B2"/>
    <w:rsid w:val="00D824FE"/>
    <w:rsid w:val="00D8515E"/>
    <w:rsid w:val="00D8758D"/>
    <w:rsid w:val="00D87C6E"/>
    <w:rsid w:val="00D92442"/>
    <w:rsid w:val="00D92510"/>
    <w:rsid w:val="00D92C80"/>
    <w:rsid w:val="00D955DC"/>
    <w:rsid w:val="00D95E35"/>
    <w:rsid w:val="00D96E35"/>
    <w:rsid w:val="00DA07F9"/>
    <w:rsid w:val="00DA15E0"/>
    <w:rsid w:val="00DA18E4"/>
    <w:rsid w:val="00DA3A02"/>
    <w:rsid w:val="00DA5AB6"/>
    <w:rsid w:val="00DA6EA8"/>
    <w:rsid w:val="00DA6FBD"/>
    <w:rsid w:val="00DB0BCB"/>
    <w:rsid w:val="00DB19D3"/>
    <w:rsid w:val="00DB6206"/>
    <w:rsid w:val="00DC0649"/>
    <w:rsid w:val="00DC2F84"/>
    <w:rsid w:val="00DC5693"/>
    <w:rsid w:val="00DC69BC"/>
    <w:rsid w:val="00DC71A6"/>
    <w:rsid w:val="00DD052D"/>
    <w:rsid w:val="00DD1075"/>
    <w:rsid w:val="00DD4662"/>
    <w:rsid w:val="00DD6A94"/>
    <w:rsid w:val="00DE017F"/>
    <w:rsid w:val="00DE0AC1"/>
    <w:rsid w:val="00DE0DF9"/>
    <w:rsid w:val="00DE2554"/>
    <w:rsid w:val="00DE4AEA"/>
    <w:rsid w:val="00DE71D8"/>
    <w:rsid w:val="00DE79DD"/>
    <w:rsid w:val="00DF0288"/>
    <w:rsid w:val="00DF2CE5"/>
    <w:rsid w:val="00DF35B6"/>
    <w:rsid w:val="00DF57AB"/>
    <w:rsid w:val="00DF6FF1"/>
    <w:rsid w:val="00E03830"/>
    <w:rsid w:val="00E07EED"/>
    <w:rsid w:val="00E131B4"/>
    <w:rsid w:val="00E138DA"/>
    <w:rsid w:val="00E14544"/>
    <w:rsid w:val="00E16DB4"/>
    <w:rsid w:val="00E22A5B"/>
    <w:rsid w:val="00E26047"/>
    <w:rsid w:val="00E2792F"/>
    <w:rsid w:val="00E30832"/>
    <w:rsid w:val="00E308B1"/>
    <w:rsid w:val="00E30AD6"/>
    <w:rsid w:val="00E32999"/>
    <w:rsid w:val="00E34299"/>
    <w:rsid w:val="00E34655"/>
    <w:rsid w:val="00E400FC"/>
    <w:rsid w:val="00E442EB"/>
    <w:rsid w:val="00E44746"/>
    <w:rsid w:val="00E44B09"/>
    <w:rsid w:val="00E44D82"/>
    <w:rsid w:val="00E4517D"/>
    <w:rsid w:val="00E458DC"/>
    <w:rsid w:val="00E466AC"/>
    <w:rsid w:val="00E46BC8"/>
    <w:rsid w:val="00E46C68"/>
    <w:rsid w:val="00E475F7"/>
    <w:rsid w:val="00E4780D"/>
    <w:rsid w:val="00E47BF9"/>
    <w:rsid w:val="00E5154E"/>
    <w:rsid w:val="00E515FA"/>
    <w:rsid w:val="00E52310"/>
    <w:rsid w:val="00E525C8"/>
    <w:rsid w:val="00E53883"/>
    <w:rsid w:val="00E53931"/>
    <w:rsid w:val="00E552D5"/>
    <w:rsid w:val="00E558F6"/>
    <w:rsid w:val="00E55B1D"/>
    <w:rsid w:val="00E56491"/>
    <w:rsid w:val="00E575AB"/>
    <w:rsid w:val="00E615E1"/>
    <w:rsid w:val="00E6350A"/>
    <w:rsid w:val="00E63860"/>
    <w:rsid w:val="00E64216"/>
    <w:rsid w:val="00E65780"/>
    <w:rsid w:val="00E666F4"/>
    <w:rsid w:val="00E66A1A"/>
    <w:rsid w:val="00E67F84"/>
    <w:rsid w:val="00E7024F"/>
    <w:rsid w:val="00E71520"/>
    <w:rsid w:val="00E74537"/>
    <w:rsid w:val="00E74FA0"/>
    <w:rsid w:val="00E77520"/>
    <w:rsid w:val="00E8173D"/>
    <w:rsid w:val="00E82C4F"/>
    <w:rsid w:val="00E82DCC"/>
    <w:rsid w:val="00E85BF3"/>
    <w:rsid w:val="00E90866"/>
    <w:rsid w:val="00E91FCC"/>
    <w:rsid w:val="00E926F3"/>
    <w:rsid w:val="00E93252"/>
    <w:rsid w:val="00EA3113"/>
    <w:rsid w:val="00EA6BDF"/>
    <w:rsid w:val="00EA7BF3"/>
    <w:rsid w:val="00EB2A31"/>
    <w:rsid w:val="00EB309A"/>
    <w:rsid w:val="00EB3268"/>
    <w:rsid w:val="00EB3D96"/>
    <w:rsid w:val="00EB4EF9"/>
    <w:rsid w:val="00EB55D1"/>
    <w:rsid w:val="00EB56DE"/>
    <w:rsid w:val="00EB7232"/>
    <w:rsid w:val="00EC246D"/>
    <w:rsid w:val="00EC48B7"/>
    <w:rsid w:val="00EC4B2C"/>
    <w:rsid w:val="00EC575E"/>
    <w:rsid w:val="00ED0E68"/>
    <w:rsid w:val="00ED2284"/>
    <w:rsid w:val="00ED3150"/>
    <w:rsid w:val="00ED6F20"/>
    <w:rsid w:val="00EE04B2"/>
    <w:rsid w:val="00EE207F"/>
    <w:rsid w:val="00EE25FB"/>
    <w:rsid w:val="00EE360B"/>
    <w:rsid w:val="00EE6347"/>
    <w:rsid w:val="00EE6EB8"/>
    <w:rsid w:val="00EF2445"/>
    <w:rsid w:val="00EF2AB0"/>
    <w:rsid w:val="00EF357A"/>
    <w:rsid w:val="00EF55BE"/>
    <w:rsid w:val="00EF6609"/>
    <w:rsid w:val="00EF7ACB"/>
    <w:rsid w:val="00F00A40"/>
    <w:rsid w:val="00F04E61"/>
    <w:rsid w:val="00F06211"/>
    <w:rsid w:val="00F06BD0"/>
    <w:rsid w:val="00F119F7"/>
    <w:rsid w:val="00F13970"/>
    <w:rsid w:val="00F14110"/>
    <w:rsid w:val="00F162FE"/>
    <w:rsid w:val="00F17D59"/>
    <w:rsid w:val="00F202AB"/>
    <w:rsid w:val="00F20F19"/>
    <w:rsid w:val="00F22766"/>
    <w:rsid w:val="00F25B7A"/>
    <w:rsid w:val="00F25D81"/>
    <w:rsid w:val="00F3098B"/>
    <w:rsid w:val="00F309DC"/>
    <w:rsid w:val="00F34877"/>
    <w:rsid w:val="00F36CE8"/>
    <w:rsid w:val="00F36E05"/>
    <w:rsid w:val="00F3799D"/>
    <w:rsid w:val="00F41306"/>
    <w:rsid w:val="00F4442D"/>
    <w:rsid w:val="00F44A03"/>
    <w:rsid w:val="00F44C85"/>
    <w:rsid w:val="00F460D7"/>
    <w:rsid w:val="00F47AEE"/>
    <w:rsid w:val="00F5042E"/>
    <w:rsid w:val="00F5555E"/>
    <w:rsid w:val="00F5712C"/>
    <w:rsid w:val="00F5771D"/>
    <w:rsid w:val="00F605DF"/>
    <w:rsid w:val="00F6263A"/>
    <w:rsid w:val="00F6268F"/>
    <w:rsid w:val="00F63573"/>
    <w:rsid w:val="00F647D9"/>
    <w:rsid w:val="00F65216"/>
    <w:rsid w:val="00F653EE"/>
    <w:rsid w:val="00F6564B"/>
    <w:rsid w:val="00F7120C"/>
    <w:rsid w:val="00F712D1"/>
    <w:rsid w:val="00F7548C"/>
    <w:rsid w:val="00F75FB6"/>
    <w:rsid w:val="00F7654C"/>
    <w:rsid w:val="00F76C1B"/>
    <w:rsid w:val="00F76F1B"/>
    <w:rsid w:val="00F8030B"/>
    <w:rsid w:val="00F817D4"/>
    <w:rsid w:val="00F8192C"/>
    <w:rsid w:val="00F82B7E"/>
    <w:rsid w:val="00F82BBE"/>
    <w:rsid w:val="00F8313C"/>
    <w:rsid w:val="00F83CF8"/>
    <w:rsid w:val="00F84472"/>
    <w:rsid w:val="00F85DA6"/>
    <w:rsid w:val="00F902CB"/>
    <w:rsid w:val="00F90AA8"/>
    <w:rsid w:val="00F90F84"/>
    <w:rsid w:val="00F92B53"/>
    <w:rsid w:val="00F93921"/>
    <w:rsid w:val="00F945FC"/>
    <w:rsid w:val="00F956D2"/>
    <w:rsid w:val="00F95EFE"/>
    <w:rsid w:val="00F96605"/>
    <w:rsid w:val="00F9772E"/>
    <w:rsid w:val="00FA0222"/>
    <w:rsid w:val="00FA1C2C"/>
    <w:rsid w:val="00FA44CD"/>
    <w:rsid w:val="00FA47E8"/>
    <w:rsid w:val="00FA53F7"/>
    <w:rsid w:val="00FB0EEC"/>
    <w:rsid w:val="00FB364B"/>
    <w:rsid w:val="00FB63EC"/>
    <w:rsid w:val="00FB64EF"/>
    <w:rsid w:val="00FC06F0"/>
    <w:rsid w:val="00FC43DB"/>
    <w:rsid w:val="00FC5310"/>
    <w:rsid w:val="00FC6664"/>
    <w:rsid w:val="00FD51A0"/>
    <w:rsid w:val="00FD70AB"/>
    <w:rsid w:val="00FE2110"/>
    <w:rsid w:val="00FF0F89"/>
    <w:rsid w:val="00FF3743"/>
    <w:rsid w:val="00FF4549"/>
    <w:rsid w:val="00FF6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6DF7"/>
  <w15:docId w15:val="{EC194FBE-2406-4D8E-96C9-2399BE3A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61E"/>
    <w:pPr>
      <w:widowControl w:val="0"/>
      <w:ind w:firstLine="641"/>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80A"/>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B5780A"/>
    <w:rPr>
      <w:sz w:val="18"/>
      <w:szCs w:val="18"/>
    </w:rPr>
  </w:style>
  <w:style w:type="paragraph" w:styleId="a5">
    <w:name w:val="footer"/>
    <w:basedOn w:val="a"/>
    <w:link w:val="a6"/>
    <w:uiPriority w:val="99"/>
    <w:unhideWhenUsed/>
    <w:rsid w:val="00B5780A"/>
    <w:pPr>
      <w:tabs>
        <w:tab w:val="center" w:pos="4153"/>
        <w:tab w:val="right" w:pos="8306"/>
      </w:tabs>
      <w:snapToGrid w:val="0"/>
    </w:pPr>
    <w:rPr>
      <w:kern w:val="0"/>
      <w:sz w:val="18"/>
      <w:szCs w:val="18"/>
    </w:rPr>
  </w:style>
  <w:style w:type="character" w:customStyle="1" w:styleId="a6">
    <w:name w:val="页脚 字符"/>
    <w:link w:val="a5"/>
    <w:uiPriority w:val="99"/>
    <w:rsid w:val="00B5780A"/>
    <w:rPr>
      <w:sz w:val="18"/>
      <w:szCs w:val="18"/>
    </w:rPr>
  </w:style>
  <w:style w:type="paragraph" w:styleId="a7">
    <w:name w:val="Balloon Text"/>
    <w:basedOn w:val="a"/>
    <w:link w:val="a8"/>
    <w:uiPriority w:val="99"/>
    <w:semiHidden/>
    <w:unhideWhenUsed/>
    <w:rsid w:val="00B5780A"/>
    <w:rPr>
      <w:kern w:val="0"/>
      <w:sz w:val="18"/>
      <w:szCs w:val="18"/>
    </w:rPr>
  </w:style>
  <w:style w:type="character" w:customStyle="1" w:styleId="a8">
    <w:name w:val="批注框文本 字符"/>
    <w:link w:val="a7"/>
    <w:uiPriority w:val="99"/>
    <w:semiHidden/>
    <w:rsid w:val="00B5780A"/>
    <w:rPr>
      <w:sz w:val="18"/>
      <w:szCs w:val="18"/>
    </w:rPr>
  </w:style>
  <w:style w:type="paragraph" w:customStyle="1" w:styleId="1">
    <w:name w:val="样式1"/>
    <w:basedOn w:val="a3"/>
    <w:link w:val="1Char"/>
    <w:qFormat/>
    <w:rsid w:val="00B5780A"/>
    <w:pPr>
      <w:pBdr>
        <w:bottom w:val="none" w:sz="0" w:space="0" w:color="auto"/>
      </w:pBdr>
    </w:pPr>
  </w:style>
  <w:style w:type="character" w:customStyle="1" w:styleId="1Char">
    <w:name w:val="样式1 Char"/>
    <w:basedOn w:val="a4"/>
    <w:link w:val="1"/>
    <w:rsid w:val="00B5780A"/>
    <w:rPr>
      <w:sz w:val="18"/>
      <w:szCs w:val="18"/>
    </w:rPr>
  </w:style>
  <w:style w:type="character" w:styleId="a9">
    <w:name w:val="Hyperlink"/>
    <w:rsid w:val="00A16EEF"/>
    <w:rPr>
      <w:color w:val="0000FF"/>
      <w:u w:val="single"/>
    </w:rPr>
  </w:style>
  <w:style w:type="paragraph" w:styleId="aa">
    <w:name w:val="Body Text"/>
    <w:basedOn w:val="a"/>
    <w:link w:val="ab"/>
    <w:rsid w:val="00A16EEF"/>
    <w:pPr>
      <w:spacing w:after="120"/>
      <w:ind w:firstLine="0"/>
      <w:jc w:val="both"/>
    </w:pPr>
    <w:rPr>
      <w:rFonts w:ascii="Times New Roman" w:hAnsi="Times New Roman"/>
      <w:szCs w:val="24"/>
    </w:rPr>
  </w:style>
  <w:style w:type="character" w:customStyle="1" w:styleId="ab">
    <w:name w:val="正文文本 字符"/>
    <w:link w:val="aa"/>
    <w:rsid w:val="00A16EEF"/>
    <w:rPr>
      <w:rFonts w:ascii="Times New Roman" w:hAnsi="Times New Roman"/>
      <w:kern w:val="2"/>
      <w:sz w:val="21"/>
      <w:szCs w:val="24"/>
    </w:rPr>
  </w:style>
  <w:style w:type="paragraph" w:customStyle="1" w:styleId="ac">
    <w:name w:val="内容"/>
    <w:basedOn w:val="a"/>
    <w:autoRedefine/>
    <w:rsid w:val="00CA73B5"/>
    <w:pPr>
      <w:tabs>
        <w:tab w:val="left" w:pos="1455"/>
      </w:tabs>
      <w:ind w:firstLine="0"/>
      <w:jc w:val="both"/>
    </w:pPr>
    <w:rPr>
      <w:rFonts w:ascii="黑体" w:eastAsia="黑体" w:hAnsi="黑体"/>
      <w:bCs/>
      <w:color w:val="000000"/>
      <w:szCs w:val="21"/>
    </w:rPr>
  </w:style>
  <w:style w:type="paragraph" w:customStyle="1" w:styleId="CharCharCharChar">
    <w:name w:val="Char Char Char Char"/>
    <w:basedOn w:val="a"/>
    <w:autoRedefine/>
    <w:rsid w:val="002F37A7"/>
    <w:pPr>
      <w:tabs>
        <w:tab w:val="num" w:pos="360"/>
      </w:tabs>
      <w:ind w:firstLine="0"/>
      <w:jc w:val="both"/>
    </w:pPr>
    <w:rPr>
      <w:rFonts w:ascii="Times New Roman" w:hAnsi="Times New Roman"/>
      <w:sz w:val="24"/>
      <w:szCs w:val="24"/>
    </w:rPr>
  </w:style>
  <w:style w:type="paragraph" w:styleId="ad">
    <w:name w:val="Revision"/>
    <w:hidden/>
    <w:uiPriority w:val="99"/>
    <w:semiHidden/>
    <w:rsid w:val="003139F0"/>
    <w:rPr>
      <w:kern w:val="2"/>
      <w:sz w:val="21"/>
      <w:szCs w:val="22"/>
    </w:rPr>
  </w:style>
  <w:style w:type="paragraph" w:styleId="ae">
    <w:name w:val="Date"/>
    <w:basedOn w:val="a"/>
    <w:next w:val="a"/>
    <w:link w:val="af"/>
    <w:uiPriority w:val="99"/>
    <w:semiHidden/>
    <w:unhideWhenUsed/>
    <w:rsid w:val="00B02ACD"/>
    <w:pPr>
      <w:ind w:leftChars="2500" w:left="100"/>
    </w:pPr>
  </w:style>
  <w:style w:type="character" w:customStyle="1" w:styleId="af">
    <w:name w:val="日期 字符"/>
    <w:link w:val="ae"/>
    <w:uiPriority w:val="99"/>
    <w:semiHidden/>
    <w:rsid w:val="00B02ACD"/>
    <w:rPr>
      <w:kern w:val="2"/>
      <w:sz w:val="21"/>
      <w:szCs w:val="22"/>
    </w:rPr>
  </w:style>
  <w:style w:type="character" w:styleId="af0">
    <w:name w:val="annotation reference"/>
    <w:uiPriority w:val="99"/>
    <w:semiHidden/>
    <w:unhideWhenUsed/>
    <w:rsid w:val="00823DE4"/>
    <w:rPr>
      <w:sz w:val="21"/>
      <w:szCs w:val="21"/>
    </w:rPr>
  </w:style>
  <w:style w:type="paragraph" w:styleId="af1">
    <w:name w:val="annotation text"/>
    <w:basedOn w:val="a"/>
    <w:link w:val="af2"/>
    <w:uiPriority w:val="99"/>
    <w:semiHidden/>
    <w:unhideWhenUsed/>
    <w:rsid w:val="00823DE4"/>
  </w:style>
  <w:style w:type="character" w:customStyle="1" w:styleId="af2">
    <w:name w:val="批注文字 字符"/>
    <w:link w:val="af1"/>
    <w:uiPriority w:val="99"/>
    <w:semiHidden/>
    <w:rsid w:val="00823DE4"/>
    <w:rPr>
      <w:kern w:val="2"/>
      <w:sz w:val="21"/>
      <w:szCs w:val="22"/>
    </w:rPr>
  </w:style>
  <w:style w:type="paragraph" w:styleId="af3">
    <w:name w:val="annotation subject"/>
    <w:basedOn w:val="af1"/>
    <w:next w:val="af1"/>
    <w:link w:val="af4"/>
    <w:uiPriority w:val="99"/>
    <w:semiHidden/>
    <w:unhideWhenUsed/>
    <w:rsid w:val="00823DE4"/>
    <w:rPr>
      <w:b/>
      <w:bCs/>
    </w:rPr>
  </w:style>
  <w:style w:type="character" w:customStyle="1" w:styleId="af4">
    <w:name w:val="批注主题 字符"/>
    <w:link w:val="af3"/>
    <w:uiPriority w:val="99"/>
    <w:semiHidden/>
    <w:rsid w:val="00823DE4"/>
    <w:rPr>
      <w:b/>
      <w:bCs/>
      <w:kern w:val="2"/>
      <w:sz w:val="21"/>
      <w:szCs w:val="22"/>
    </w:rPr>
  </w:style>
  <w:style w:type="paragraph" w:customStyle="1" w:styleId="Default">
    <w:name w:val="Default"/>
    <w:rsid w:val="005F3F99"/>
    <w:pPr>
      <w:widowControl w:val="0"/>
      <w:autoSpaceDE w:val="0"/>
      <w:autoSpaceDN w:val="0"/>
      <w:adjustRightInd w:val="0"/>
    </w:pPr>
    <w:rPr>
      <w:rFonts w:ascii="宋体" w:hAnsi="宋体" w:cs="宋体"/>
      <w:color w:val="000000"/>
      <w:sz w:val="24"/>
      <w:szCs w:val="24"/>
    </w:rPr>
  </w:style>
  <w:style w:type="paragraph" w:styleId="af5">
    <w:name w:val="List Paragraph"/>
    <w:basedOn w:val="a"/>
    <w:uiPriority w:val="34"/>
    <w:qFormat/>
    <w:rsid w:val="00675D65"/>
    <w:pPr>
      <w:ind w:firstLineChars="200" w:firstLine="420"/>
    </w:pPr>
  </w:style>
  <w:style w:type="paragraph" w:customStyle="1" w:styleId="af6">
    <w:name w:val="正文所"/>
    <w:basedOn w:val="a"/>
    <w:qFormat/>
    <w:rsid w:val="00370BC7"/>
    <w:pPr>
      <w:spacing w:line="360" w:lineRule="auto"/>
      <w:ind w:firstLineChars="200" w:firstLine="420"/>
      <w:jc w:val="both"/>
    </w:pPr>
    <w:rPr>
      <w:rFonts w:ascii="宋体" w:hAnsi="Times New Roman"/>
      <w:szCs w:val="20"/>
    </w:rPr>
  </w:style>
  <w:style w:type="paragraph" w:styleId="af7">
    <w:name w:val="Normal (Web)"/>
    <w:basedOn w:val="a"/>
    <w:uiPriority w:val="99"/>
    <w:semiHidden/>
    <w:unhideWhenUsed/>
    <w:rsid w:val="0092289A"/>
    <w:pPr>
      <w:widowControl/>
      <w:spacing w:before="100" w:beforeAutospacing="1" w:after="100" w:afterAutospacing="1"/>
      <w:ind w:firstLine="0"/>
    </w:pPr>
    <w:rPr>
      <w:rFonts w:ascii="宋体" w:hAnsi="宋体" w:cs="宋体"/>
      <w:kern w:val="0"/>
      <w:sz w:val="24"/>
      <w:szCs w:val="24"/>
    </w:rPr>
  </w:style>
  <w:style w:type="character" w:customStyle="1" w:styleId="fontstyle01">
    <w:name w:val="fontstyle01"/>
    <w:basedOn w:val="a0"/>
    <w:rsid w:val="00106F37"/>
    <w:rPr>
      <w:rFonts w:ascii="MicrosoftYaHei" w:hAnsi="MicrosoftYaHei" w:hint="default"/>
      <w:b w:val="0"/>
      <w:bCs w:val="0"/>
      <w:i w:val="0"/>
      <w:iCs w:val="0"/>
      <w:color w:val="000000"/>
      <w:sz w:val="24"/>
      <w:szCs w:val="24"/>
    </w:rPr>
  </w:style>
  <w:style w:type="paragraph" w:customStyle="1" w:styleId="32">
    <w:name w:val="32"/>
    <w:basedOn w:val="a"/>
    <w:rsid w:val="009A5F9F"/>
    <w:pPr>
      <w:widowControl/>
      <w:spacing w:before="100" w:beforeAutospacing="1" w:after="100" w:afterAutospacing="1"/>
      <w:ind w:firstLine="0"/>
    </w:pPr>
    <w:rPr>
      <w:rFonts w:ascii="宋体" w:hAnsi="宋体" w:cs="宋体"/>
      <w:kern w:val="0"/>
      <w:sz w:val="24"/>
      <w:szCs w:val="24"/>
    </w:rPr>
  </w:style>
  <w:style w:type="paragraph" w:customStyle="1" w:styleId="2">
    <w:name w:val="样式2"/>
    <w:basedOn w:val="a"/>
    <w:link w:val="20"/>
    <w:qFormat/>
    <w:rsid w:val="007F6BDB"/>
    <w:pPr>
      <w:widowControl/>
      <w:numPr>
        <w:numId w:val="7"/>
      </w:numPr>
      <w:outlineLvl w:val="0"/>
    </w:pPr>
    <w:rPr>
      <w:rFonts w:ascii="楷体" w:hAnsi="楷体" w:cs="宋体"/>
      <w:b/>
      <w:bCs/>
      <w:color w:val="000000"/>
      <w:kern w:val="36"/>
      <w:sz w:val="28"/>
      <w:szCs w:val="28"/>
      <w:bdr w:val="none" w:sz="0" w:space="0" w:color="auto" w:frame="1"/>
    </w:rPr>
  </w:style>
  <w:style w:type="paragraph" w:customStyle="1" w:styleId="3">
    <w:name w:val="样式3"/>
    <w:basedOn w:val="a"/>
    <w:link w:val="30"/>
    <w:qFormat/>
    <w:rsid w:val="007F6BDB"/>
    <w:pPr>
      <w:widowControl/>
      <w:ind w:firstLine="282"/>
      <w:outlineLvl w:val="1"/>
    </w:pPr>
    <w:rPr>
      <w:rFonts w:ascii="宋体" w:hAnsi="宋体"/>
      <w:sz w:val="24"/>
      <w:szCs w:val="24"/>
    </w:rPr>
  </w:style>
  <w:style w:type="character" w:customStyle="1" w:styleId="20">
    <w:name w:val="样式2 字符"/>
    <w:basedOn w:val="a0"/>
    <w:link w:val="2"/>
    <w:rsid w:val="007F6BDB"/>
    <w:rPr>
      <w:rFonts w:ascii="楷体" w:hAnsi="楷体" w:cs="宋体"/>
      <w:b/>
      <w:bCs/>
      <w:color w:val="000000"/>
      <w:kern w:val="36"/>
      <w:sz w:val="28"/>
      <w:szCs w:val="28"/>
      <w:bdr w:val="none" w:sz="0" w:space="0" w:color="auto" w:frame="1"/>
    </w:rPr>
  </w:style>
  <w:style w:type="paragraph" w:customStyle="1" w:styleId="4">
    <w:name w:val="样式4"/>
    <w:basedOn w:val="a"/>
    <w:link w:val="40"/>
    <w:qFormat/>
    <w:rsid w:val="009E3414"/>
    <w:rPr>
      <w:sz w:val="24"/>
    </w:rPr>
  </w:style>
  <w:style w:type="character" w:customStyle="1" w:styleId="30">
    <w:name w:val="样式3 字符"/>
    <w:basedOn w:val="a0"/>
    <w:link w:val="3"/>
    <w:rsid w:val="007F6BDB"/>
    <w:rPr>
      <w:rFonts w:ascii="宋体" w:hAnsi="宋体"/>
      <w:kern w:val="2"/>
      <w:sz w:val="24"/>
      <w:szCs w:val="24"/>
    </w:rPr>
  </w:style>
  <w:style w:type="paragraph" w:customStyle="1" w:styleId="5">
    <w:name w:val="样式5"/>
    <w:basedOn w:val="4"/>
    <w:link w:val="50"/>
    <w:qFormat/>
    <w:rsid w:val="00CD019A"/>
    <w:pPr>
      <w:ind w:firstLine="0"/>
    </w:pPr>
    <w:rPr>
      <w:rFonts w:ascii="宋体" w:hAnsi="宋体"/>
      <w:szCs w:val="24"/>
    </w:rPr>
  </w:style>
  <w:style w:type="character" w:customStyle="1" w:styleId="40">
    <w:name w:val="样式4 字符"/>
    <w:basedOn w:val="a0"/>
    <w:link w:val="4"/>
    <w:rsid w:val="009E3414"/>
    <w:rPr>
      <w:kern w:val="2"/>
      <w:sz w:val="24"/>
      <w:szCs w:val="22"/>
    </w:rPr>
  </w:style>
  <w:style w:type="character" w:customStyle="1" w:styleId="50">
    <w:name w:val="样式5 字符"/>
    <w:basedOn w:val="40"/>
    <w:link w:val="5"/>
    <w:rsid w:val="00CD019A"/>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9263">
      <w:bodyDiv w:val="1"/>
      <w:marLeft w:val="0"/>
      <w:marRight w:val="0"/>
      <w:marTop w:val="0"/>
      <w:marBottom w:val="0"/>
      <w:divBdr>
        <w:top w:val="none" w:sz="0" w:space="0" w:color="auto"/>
        <w:left w:val="none" w:sz="0" w:space="0" w:color="auto"/>
        <w:bottom w:val="none" w:sz="0" w:space="0" w:color="auto"/>
        <w:right w:val="none" w:sz="0" w:space="0" w:color="auto"/>
      </w:divBdr>
    </w:div>
    <w:div w:id="454641467">
      <w:bodyDiv w:val="1"/>
      <w:marLeft w:val="0"/>
      <w:marRight w:val="0"/>
      <w:marTop w:val="0"/>
      <w:marBottom w:val="0"/>
      <w:divBdr>
        <w:top w:val="none" w:sz="0" w:space="0" w:color="auto"/>
        <w:left w:val="none" w:sz="0" w:space="0" w:color="auto"/>
        <w:bottom w:val="none" w:sz="0" w:space="0" w:color="auto"/>
        <w:right w:val="none" w:sz="0" w:space="0" w:color="auto"/>
      </w:divBdr>
    </w:div>
    <w:div w:id="496962164">
      <w:bodyDiv w:val="1"/>
      <w:marLeft w:val="0"/>
      <w:marRight w:val="0"/>
      <w:marTop w:val="0"/>
      <w:marBottom w:val="0"/>
      <w:divBdr>
        <w:top w:val="none" w:sz="0" w:space="0" w:color="auto"/>
        <w:left w:val="none" w:sz="0" w:space="0" w:color="auto"/>
        <w:bottom w:val="none" w:sz="0" w:space="0" w:color="auto"/>
        <w:right w:val="none" w:sz="0" w:space="0" w:color="auto"/>
      </w:divBdr>
    </w:div>
    <w:div w:id="524102174">
      <w:bodyDiv w:val="1"/>
      <w:marLeft w:val="0"/>
      <w:marRight w:val="0"/>
      <w:marTop w:val="0"/>
      <w:marBottom w:val="0"/>
      <w:divBdr>
        <w:top w:val="none" w:sz="0" w:space="0" w:color="auto"/>
        <w:left w:val="none" w:sz="0" w:space="0" w:color="auto"/>
        <w:bottom w:val="none" w:sz="0" w:space="0" w:color="auto"/>
        <w:right w:val="none" w:sz="0" w:space="0" w:color="auto"/>
      </w:divBdr>
    </w:div>
    <w:div w:id="773133750">
      <w:bodyDiv w:val="1"/>
      <w:marLeft w:val="0"/>
      <w:marRight w:val="0"/>
      <w:marTop w:val="0"/>
      <w:marBottom w:val="0"/>
      <w:divBdr>
        <w:top w:val="none" w:sz="0" w:space="0" w:color="auto"/>
        <w:left w:val="none" w:sz="0" w:space="0" w:color="auto"/>
        <w:bottom w:val="none" w:sz="0" w:space="0" w:color="auto"/>
        <w:right w:val="none" w:sz="0" w:space="0" w:color="auto"/>
      </w:divBdr>
      <w:divsChild>
        <w:div w:id="1531532113">
          <w:marLeft w:val="150"/>
          <w:marRight w:val="150"/>
          <w:marTop w:val="300"/>
          <w:marBottom w:val="0"/>
          <w:divBdr>
            <w:top w:val="none" w:sz="0" w:space="0" w:color="auto"/>
            <w:left w:val="none" w:sz="0" w:space="0" w:color="auto"/>
            <w:bottom w:val="none" w:sz="0" w:space="0" w:color="auto"/>
            <w:right w:val="none" w:sz="0" w:space="0" w:color="auto"/>
          </w:divBdr>
        </w:div>
        <w:div w:id="1548955746">
          <w:marLeft w:val="150"/>
          <w:marRight w:val="150"/>
          <w:marTop w:val="300"/>
          <w:marBottom w:val="0"/>
          <w:divBdr>
            <w:top w:val="none" w:sz="0" w:space="0" w:color="auto"/>
            <w:left w:val="none" w:sz="0" w:space="0" w:color="auto"/>
            <w:bottom w:val="none" w:sz="0" w:space="0" w:color="auto"/>
            <w:right w:val="none" w:sz="0" w:space="0" w:color="auto"/>
          </w:divBdr>
        </w:div>
      </w:divsChild>
    </w:div>
    <w:div w:id="927688135">
      <w:bodyDiv w:val="1"/>
      <w:marLeft w:val="0"/>
      <w:marRight w:val="0"/>
      <w:marTop w:val="0"/>
      <w:marBottom w:val="0"/>
      <w:divBdr>
        <w:top w:val="none" w:sz="0" w:space="0" w:color="auto"/>
        <w:left w:val="none" w:sz="0" w:space="0" w:color="auto"/>
        <w:bottom w:val="none" w:sz="0" w:space="0" w:color="auto"/>
        <w:right w:val="none" w:sz="0" w:space="0" w:color="auto"/>
      </w:divBdr>
    </w:div>
    <w:div w:id="980767655">
      <w:bodyDiv w:val="1"/>
      <w:marLeft w:val="0"/>
      <w:marRight w:val="0"/>
      <w:marTop w:val="0"/>
      <w:marBottom w:val="0"/>
      <w:divBdr>
        <w:top w:val="none" w:sz="0" w:space="0" w:color="auto"/>
        <w:left w:val="none" w:sz="0" w:space="0" w:color="auto"/>
        <w:bottom w:val="none" w:sz="0" w:space="0" w:color="auto"/>
        <w:right w:val="none" w:sz="0" w:space="0" w:color="auto"/>
      </w:divBdr>
    </w:div>
    <w:div w:id="986322227">
      <w:bodyDiv w:val="1"/>
      <w:marLeft w:val="0"/>
      <w:marRight w:val="0"/>
      <w:marTop w:val="0"/>
      <w:marBottom w:val="0"/>
      <w:divBdr>
        <w:top w:val="none" w:sz="0" w:space="0" w:color="auto"/>
        <w:left w:val="none" w:sz="0" w:space="0" w:color="auto"/>
        <w:bottom w:val="none" w:sz="0" w:space="0" w:color="auto"/>
        <w:right w:val="none" w:sz="0" w:space="0" w:color="auto"/>
      </w:divBdr>
    </w:div>
    <w:div w:id="1110975740">
      <w:bodyDiv w:val="1"/>
      <w:marLeft w:val="0"/>
      <w:marRight w:val="0"/>
      <w:marTop w:val="0"/>
      <w:marBottom w:val="0"/>
      <w:divBdr>
        <w:top w:val="none" w:sz="0" w:space="0" w:color="auto"/>
        <w:left w:val="none" w:sz="0" w:space="0" w:color="auto"/>
        <w:bottom w:val="none" w:sz="0" w:space="0" w:color="auto"/>
        <w:right w:val="none" w:sz="0" w:space="0" w:color="auto"/>
      </w:divBdr>
    </w:div>
    <w:div w:id="1113212883">
      <w:bodyDiv w:val="1"/>
      <w:marLeft w:val="0"/>
      <w:marRight w:val="0"/>
      <w:marTop w:val="0"/>
      <w:marBottom w:val="0"/>
      <w:divBdr>
        <w:top w:val="none" w:sz="0" w:space="0" w:color="auto"/>
        <w:left w:val="none" w:sz="0" w:space="0" w:color="auto"/>
        <w:bottom w:val="none" w:sz="0" w:space="0" w:color="auto"/>
        <w:right w:val="none" w:sz="0" w:space="0" w:color="auto"/>
      </w:divBdr>
    </w:div>
    <w:div w:id="1168788932">
      <w:bodyDiv w:val="1"/>
      <w:marLeft w:val="0"/>
      <w:marRight w:val="0"/>
      <w:marTop w:val="0"/>
      <w:marBottom w:val="0"/>
      <w:divBdr>
        <w:top w:val="none" w:sz="0" w:space="0" w:color="auto"/>
        <w:left w:val="none" w:sz="0" w:space="0" w:color="auto"/>
        <w:bottom w:val="none" w:sz="0" w:space="0" w:color="auto"/>
        <w:right w:val="none" w:sz="0" w:space="0" w:color="auto"/>
      </w:divBdr>
    </w:div>
    <w:div w:id="1299144388">
      <w:bodyDiv w:val="1"/>
      <w:marLeft w:val="0"/>
      <w:marRight w:val="0"/>
      <w:marTop w:val="0"/>
      <w:marBottom w:val="0"/>
      <w:divBdr>
        <w:top w:val="none" w:sz="0" w:space="0" w:color="auto"/>
        <w:left w:val="none" w:sz="0" w:space="0" w:color="auto"/>
        <w:bottom w:val="none" w:sz="0" w:space="0" w:color="auto"/>
        <w:right w:val="none" w:sz="0" w:space="0" w:color="auto"/>
      </w:divBdr>
    </w:div>
    <w:div w:id="1407340774">
      <w:bodyDiv w:val="1"/>
      <w:marLeft w:val="0"/>
      <w:marRight w:val="0"/>
      <w:marTop w:val="0"/>
      <w:marBottom w:val="0"/>
      <w:divBdr>
        <w:top w:val="none" w:sz="0" w:space="0" w:color="auto"/>
        <w:left w:val="none" w:sz="0" w:space="0" w:color="auto"/>
        <w:bottom w:val="none" w:sz="0" w:space="0" w:color="auto"/>
        <w:right w:val="none" w:sz="0" w:space="0" w:color="auto"/>
      </w:divBdr>
    </w:div>
    <w:div w:id="1438871319">
      <w:bodyDiv w:val="1"/>
      <w:marLeft w:val="0"/>
      <w:marRight w:val="0"/>
      <w:marTop w:val="0"/>
      <w:marBottom w:val="0"/>
      <w:divBdr>
        <w:top w:val="none" w:sz="0" w:space="0" w:color="auto"/>
        <w:left w:val="none" w:sz="0" w:space="0" w:color="auto"/>
        <w:bottom w:val="none" w:sz="0" w:space="0" w:color="auto"/>
        <w:right w:val="none" w:sz="0" w:space="0" w:color="auto"/>
      </w:divBdr>
    </w:div>
    <w:div w:id="1472018555">
      <w:bodyDiv w:val="1"/>
      <w:marLeft w:val="0"/>
      <w:marRight w:val="0"/>
      <w:marTop w:val="0"/>
      <w:marBottom w:val="0"/>
      <w:divBdr>
        <w:top w:val="none" w:sz="0" w:space="0" w:color="auto"/>
        <w:left w:val="none" w:sz="0" w:space="0" w:color="auto"/>
        <w:bottom w:val="none" w:sz="0" w:space="0" w:color="auto"/>
        <w:right w:val="none" w:sz="0" w:space="0" w:color="auto"/>
      </w:divBdr>
    </w:div>
    <w:div w:id="1667244759">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900747956">
      <w:bodyDiv w:val="1"/>
      <w:marLeft w:val="0"/>
      <w:marRight w:val="0"/>
      <w:marTop w:val="0"/>
      <w:marBottom w:val="0"/>
      <w:divBdr>
        <w:top w:val="none" w:sz="0" w:space="0" w:color="auto"/>
        <w:left w:val="none" w:sz="0" w:space="0" w:color="auto"/>
        <w:bottom w:val="none" w:sz="0" w:space="0" w:color="auto"/>
        <w:right w:val="none" w:sz="0" w:space="0" w:color="auto"/>
      </w:divBdr>
    </w:div>
    <w:div w:id="1911572936">
      <w:bodyDiv w:val="1"/>
      <w:marLeft w:val="0"/>
      <w:marRight w:val="0"/>
      <w:marTop w:val="0"/>
      <w:marBottom w:val="0"/>
      <w:divBdr>
        <w:top w:val="none" w:sz="0" w:space="0" w:color="auto"/>
        <w:left w:val="none" w:sz="0" w:space="0" w:color="auto"/>
        <w:bottom w:val="none" w:sz="0" w:space="0" w:color="auto"/>
        <w:right w:val="none" w:sz="0" w:space="0" w:color="auto"/>
      </w:divBdr>
    </w:div>
    <w:div w:id="1917855538">
      <w:bodyDiv w:val="1"/>
      <w:marLeft w:val="0"/>
      <w:marRight w:val="0"/>
      <w:marTop w:val="0"/>
      <w:marBottom w:val="0"/>
      <w:divBdr>
        <w:top w:val="none" w:sz="0" w:space="0" w:color="auto"/>
        <w:left w:val="none" w:sz="0" w:space="0" w:color="auto"/>
        <w:bottom w:val="none" w:sz="0" w:space="0" w:color="auto"/>
        <w:right w:val="none" w:sz="0" w:space="0" w:color="auto"/>
      </w:divBdr>
    </w:div>
    <w:div w:id="19387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5%84%E4%BA%A7/78117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8%AE%A1%E6%8F%90/882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1%8A%E9%94%80/4096454"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ike.baidu.com/item/%E6%BA%A2%E4%BB%B7/3520588" TargetMode="External"/><Relationship Id="rId4" Type="http://schemas.openxmlformats.org/officeDocument/2006/relationships/settings" Target="settings.xml"/><Relationship Id="rId9" Type="http://schemas.openxmlformats.org/officeDocument/2006/relationships/hyperlink" Target="https://baike.baidu.com/item/%E7%A5%A8%E9%9D%A2%E5%88%A9%E7%8E%87/937363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EC1E4-DCC1-4E05-A4AC-FB24AC36B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4364</TotalTime>
  <Pages>17</Pages>
  <Words>2518</Words>
  <Characters>14359</Characters>
  <Application>Microsoft Office Word</Application>
  <DocSecurity>0</DocSecurity>
  <Lines>119</Lines>
  <Paragraphs>33</Paragraphs>
  <ScaleCrop>false</ScaleCrop>
  <Company>Microsoft</Company>
  <LinksUpToDate>false</LinksUpToDate>
  <CharactersWithSpaces>16844</CharactersWithSpaces>
  <SharedDoc>false</SharedDoc>
  <HLinks>
    <vt:vector size="12" baseType="variant">
      <vt:variant>
        <vt:i4>2818159</vt:i4>
      </vt:variant>
      <vt:variant>
        <vt:i4>3</vt:i4>
      </vt:variant>
      <vt:variant>
        <vt:i4>0</vt:i4>
      </vt:variant>
      <vt:variant>
        <vt:i4>5</vt:i4>
      </vt:variant>
      <vt:variant>
        <vt:lpwstr>http://www.grcbank.com/</vt:lpwstr>
      </vt:variant>
      <vt:variant>
        <vt:lpwstr/>
      </vt:variant>
      <vt:variant>
        <vt:i4>2818159</vt:i4>
      </vt:variant>
      <vt:variant>
        <vt:i4>0</vt:i4>
      </vt:variant>
      <vt:variant>
        <vt:i4>0</vt:i4>
      </vt:variant>
      <vt:variant>
        <vt:i4>5</vt:i4>
      </vt:variant>
      <vt:variant>
        <vt:lpwstr>http://www.grcbank.com/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拍子达</dc:creator>
  <cp:lastModifiedBy>User</cp:lastModifiedBy>
  <cp:revision>76</cp:revision>
  <cp:lastPrinted>2024-09-25T08:39:00Z</cp:lastPrinted>
  <dcterms:created xsi:type="dcterms:W3CDTF">2024-12-27T08:12:00Z</dcterms:created>
  <dcterms:modified xsi:type="dcterms:W3CDTF">2025-03-28T09:28:00Z</dcterms:modified>
</cp:coreProperties>
</file>