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91" w:rsidRDefault="00F00656">
      <w:pPr>
        <w:pStyle w:val="aa"/>
        <w:spacing w:line="600" w:lineRule="exact"/>
        <w:rPr>
          <w:rFonts w:ascii="仿宋_GB2312" w:eastAsia="仿宋_GB2312" w:hAnsi="仿宋_GB2312" w:cs="仿宋_GB2312"/>
          <w:bCs/>
          <w:sz w:val="32"/>
          <w:szCs w:val="30"/>
        </w:rPr>
      </w:pPr>
      <w:bookmarkStart w:id="0" w:name="_Toc25329"/>
      <w:r>
        <w:rPr>
          <w:rFonts w:ascii="仿宋_GB2312" w:eastAsia="仿宋_GB2312" w:hAnsi="仿宋_GB2312" w:cs="仿宋_GB2312" w:hint="eastAsia"/>
          <w:bCs/>
          <w:sz w:val="32"/>
          <w:szCs w:val="30"/>
        </w:rPr>
        <w:t>附件：</w:t>
      </w:r>
    </w:p>
    <w:bookmarkEnd w:id="0"/>
    <w:p w:rsidR="00936691" w:rsidRDefault="00F00656">
      <w:pPr>
        <w:pStyle w:val="ab"/>
        <w:spacing w:line="700" w:lineRule="exact"/>
        <w:rPr>
          <w:rFonts w:ascii="方正小标宋简体" w:eastAsia="方正小标宋简体" w:hAnsi="方正小标宋简体" w:cs="方正小标宋简体"/>
          <w:b w:val="0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sz w:val="44"/>
          <w:szCs w:val="36"/>
        </w:rPr>
        <w:t>广汉珠江村镇银行股份有限公司与</w:t>
      </w:r>
    </w:p>
    <w:p w:rsidR="00C85710" w:rsidRDefault="00F00656" w:rsidP="00083A4B">
      <w:pPr>
        <w:pStyle w:val="ab"/>
        <w:spacing w:line="700" w:lineRule="exact"/>
        <w:rPr>
          <w:rFonts w:ascii="方正小标宋简体" w:eastAsia="方正小标宋简体" w:hAnsi="方正小标宋简体" w:cs="方正小标宋简体"/>
          <w:b w:val="0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sz w:val="44"/>
          <w:szCs w:val="36"/>
        </w:rPr>
        <w:t>广州农村商业银行</w:t>
      </w:r>
      <w:r w:rsidR="00C85710" w:rsidRPr="00C85710">
        <w:rPr>
          <w:rFonts w:ascii="方正小标宋简体" w:eastAsia="方正小标宋简体" w:hAnsi="方正小标宋简体" w:cs="方正小标宋简体" w:hint="eastAsia"/>
          <w:b w:val="0"/>
          <w:sz w:val="44"/>
          <w:szCs w:val="36"/>
        </w:rPr>
        <w:t>股份有限公司</w:t>
      </w:r>
      <w:r w:rsidR="00083A4B">
        <w:rPr>
          <w:rFonts w:ascii="方正小标宋简体" w:eastAsia="方正小标宋简体" w:hAnsi="方正小标宋简体" w:cs="方正小标宋简体" w:hint="eastAsia"/>
          <w:b w:val="0"/>
          <w:sz w:val="44"/>
          <w:szCs w:val="36"/>
        </w:rPr>
        <w:t>同业</w:t>
      </w:r>
      <w:r>
        <w:rPr>
          <w:rFonts w:ascii="方正小标宋简体" w:eastAsia="方正小标宋简体" w:hAnsi="方正小标宋简体" w:cs="方正小标宋简体" w:hint="eastAsia"/>
          <w:b w:val="0"/>
          <w:sz w:val="44"/>
          <w:szCs w:val="36"/>
        </w:rPr>
        <w:t>授信</w:t>
      </w:r>
    </w:p>
    <w:p w:rsidR="00936691" w:rsidRDefault="00F00656" w:rsidP="00083A4B">
      <w:pPr>
        <w:pStyle w:val="ab"/>
        <w:spacing w:line="700" w:lineRule="exact"/>
        <w:rPr>
          <w:rFonts w:ascii="方正小标宋简体" w:eastAsia="方正小标宋简体" w:hAnsi="方正小标宋简体" w:cs="方正小标宋简体"/>
          <w:b w:val="0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sz w:val="44"/>
          <w:szCs w:val="36"/>
        </w:rPr>
        <w:t>关联交易报告</w:t>
      </w:r>
    </w:p>
    <w:p w:rsidR="00936691" w:rsidRDefault="00936691">
      <w:pPr>
        <w:pStyle w:val="ab"/>
        <w:spacing w:before="0" w:after="0" w:line="700" w:lineRule="exact"/>
        <w:rPr>
          <w:rFonts w:ascii="方正小标宋简体" w:eastAsia="方正小标宋简体" w:hAnsi="方正小标宋简体" w:cs="方正小标宋简体"/>
          <w:b w:val="0"/>
          <w:sz w:val="44"/>
          <w:szCs w:val="36"/>
        </w:rPr>
      </w:pPr>
    </w:p>
    <w:p w:rsidR="00936691" w:rsidRDefault="00F00656">
      <w:pPr>
        <w:pStyle w:val="a5"/>
        <w:adjustRightInd w:val="0"/>
        <w:spacing w:line="600" w:lineRule="exact"/>
        <w:ind w:firstLineChars="200" w:firstLine="640"/>
        <w:rPr>
          <w:rFonts w:ascii="仿宋_GB2312" w:eastAsia="仿宋_GB2312" w:hAnsi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广汉珠江村镇银行股份有限公司（以下简称“本行”）于202</w:t>
      </w:r>
      <w:r w:rsidR="00F358E4"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6</w:t>
      </w:r>
      <w:r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年受理广州农村商业银行</w:t>
      </w:r>
      <w:r w:rsidR="00C85710" w:rsidRPr="00C85710"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股份有限公司</w:t>
      </w:r>
      <w:r w:rsidR="00083A4B"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同业</w:t>
      </w:r>
      <w:r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授信额度的申请。详情如下：</w:t>
      </w:r>
    </w:p>
    <w:tbl>
      <w:tblPr>
        <w:tblW w:w="7506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5670"/>
      </w:tblGrid>
      <w:tr w:rsidR="00936691">
        <w:trPr>
          <w:trHeight w:val="330"/>
          <w:jc w:val="center"/>
        </w:trPr>
        <w:tc>
          <w:tcPr>
            <w:tcW w:w="183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D0E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6691" w:rsidRDefault="00F00656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67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D0E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6691" w:rsidRDefault="00F00656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开户行名称</w:t>
            </w:r>
          </w:p>
        </w:tc>
      </w:tr>
      <w:tr w:rsidR="00936691">
        <w:trPr>
          <w:trHeight w:val="330"/>
          <w:jc w:val="center"/>
        </w:trPr>
        <w:tc>
          <w:tcPr>
            <w:tcW w:w="183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6691" w:rsidRDefault="00F0065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6691" w:rsidRDefault="00F0065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广州农村商业银行股份有限公司</w:t>
            </w:r>
          </w:p>
        </w:tc>
      </w:tr>
    </w:tbl>
    <w:p w:rsidR="00936691" w:rsidRDefault="00F00656">
      <w:pPr>
        <w:pStyle w:val="a5"/>
        <w:adjustRightInd w:val="0"/>
        <w:spacing w:line="580" w:lineRule="exact"/>
        <w:ind w:left="640"/>
        <w:rPr>
          <w:rFonts w:ascii="黑体" w:eastAsia="黑体" w:hAnsi="黑体"/>
          <w:color w:val="auto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auto"/>
          <w:sz w:val="32"/>
          <w:szCs w:val="32"/>
          <w:lang w:eastAsia="zh-CN"/>
        </w:rPr>
        <w:t>一、关联交易认定</w:t>
      </w:r>
    </w:p>
    <w:p w:rsidR="00936691" w:rsidRDefault="00F00656" w:rsidP="00711D7B">
      <w:pPr>
        <w:pStyle w:val="a5"/>
        <w:adjustRightInd w:val="0"/>
        <w:spacing w:line="580" w:lineRule="exact"/>
        <w:ind w:firstLineChars="200" w:firstLine="640"/>
        <w:rPr>
          <w:rFonts w:ascii="仿宋_GB2312" w:eastAsia="仿宋_GB2312" w:hAnsi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按照《</w:t>
      </w:r>
      <w:r>
        <w:rPr>
          <w:rFonts w:ascii="仿宋_GB2312" w:eastAsia="仿宋_GB2312" w:hAnsi="楷体" w:cs="宋体" w:hint="eastAsia"/>
          <w:kern w:val="0"/>
          <w:sz w:val="32"/>
          <w:szCs w:val="32"/>
          <w:lang w:eastAsia="zh-CN"/>
        </w:rPr>
        <w:t>广汉珠江村镇银行股份有限公司关联交易管理办法（202</w:t>
      </w:r>
      <w:r w:rsidR="00811731">
        <w:rPr>
          <w:rFonts w:ascii="仿宋_GB2312" w:eastAsia="仿宋_GB2312" w:hAnsi="楷体" w:cs="宋体" w:hint="eastAsia"/>
          <w:kern w:val="0"/>
          <w:sz w:val="32"/>
          <w:szCs w:val="32"/>
          <w:lang w:eastAsia="zh-CN"/>
        </w:rPr>
        <w:t>4</w:t>
      </w:r>
      <w:r>
        <w:rPr>
          <w:rFonts w:ascii="仿宋_GB2312" w:eastAsia="仿宋_GB2312" w:hAnsi="楷体" w:cs="宋体" w:hint="eastAsia"/>
          <w:kern w:val="0"/>
          <w:sz w:val="32"/>
          <w:szCs w:val="32"/>
          <w:lang w:eastAsia="zh-CN"/>
        </w:rPr>
        <w:t>年修订）</w:t>
      </w:r>
      <w:r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》</w:t>
      </w:r>
      <w:r w:rsidR="00FC32DE"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中规定</w:t>
      </w:r>
      <w:r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，</w:t>
      </w:r>
      <w:r w:rsidR="00FC32DE"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本行与主发起行（广州农村商业银行</w:t>
      </w:r>
      <w:r w:rsidR="00FC32DE" w:rsidRPr="00083A4B"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股份有限公司</w:t>
      </w:r>
      <w:r w:rsidR="00FC32DE"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）的同业往来业务</w:t>
      </w:r>
      <w:r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属于</w:t>
      </w:r>
      <w:r w:rsidR="00711D7B"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一般</w:t>
      </w:r>
      <w:r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关联交易。</w:t>
      </w:r>
    </w:p>
    <w:p w:rsidR="00936691" w:rsidRDefault="00F00656">
      <w:pPr>
        <w:pStyle w:val="a5"/>
        <w:adjustRightInd w:val="0"/>
        <w:spacing w:line="580" w:lineRule="exact"/>
        <w:ind w:left="640"/>
        <w:rPr>
          <w:rFonts w:ascii="黑体" w:eastAsia="黑体" w:hAnsi="黑体"/>
          <w:color w:val="auto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auto"/>
          <w:sz w:val="32"/>
          <w:szCs w:val="32"/>
          <w:lang w:eastAsia="zh-CN"/>
        </w:rPr>
        <w:t>二、授信情况</w:t>
      </w:r>
    </w:p>
    <w:p w:rsidR="00936691" w:rsidRPr="00711D7B" w:rsidRDefault="00F00656" w:rsidP="00711D7B">
      <w:pPr>
        <w:pStyle w:val="a5"/>
        <w:adjustRightInd w:val="0"/>
        <w:spacing w:line="58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  <w:lang w:eastAsia="zh-CN"/>
        </w:rPr>
        <w:t>截至202</w:t>
      </w:r>
      <w:r w:rsidR="00DE68A5">
        <w:rPr>
          <w:rFonts w:ascii="仿宋_GB2312" w:eastAsia="仿宋_GB2312" w:hAnsi="Times New Roman" w:hint="eastAsia"/>
          <w:color w:val="000000" w:themeColor="text1"/>
          <w:sz w:val="32"/>
          <w:szCs w:val="32"/>
          <w:lang w:eastAsia="zh-CN"/>
        </w:rPr>
        <w:t>5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  <w:lang w:eastAsia="zh-CN"/>
        </w:rPr>
        <w:t>年12月31日，本行一级资本净额1</w:t>
      </w:r>
      <w:r w:rsidR="00DE68A5">
        <w:rPr>
          <w:rFonts w:ascii="仿宋_GB2312" w:eastAsia="仿宋_GB2312" w:hAnsi="Times New Roman" w:hint="eastAsia"/>
          <w:color w:val="000000" w:themeColor="text1"/>
          <w:sz w:val="32"/>
          <w:szCs w:val="32"/>
          <w:lang w:eastAsia="zh-CN"/>
        </w:rPr>
        <w:t>7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  <w:lang w:eastAsia="zh-CN"/>
        </w:rPr>
        <w:t>,</w:t>
      </w:r>
      <w:r w:rsidR="00DE68A5">
        <w:rPr>
          <w:rFonts w:ascii="仿宋_GB2312" w:eastAsia="仿宋_GB2312" w:hAnsi="Times New Roman" w:hint="eastAsia"/>
          <w:color w:val="000000" w:themeColor="text1"/>
          <w:sz w:val="32"/>
          <w:szCs w:val="32"/>
          <w:lang w:eastAsia="zh-CN"/>
        </w:rPr>
        <w:t>213.75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  <w:lang w:eastAsia="zh-CN"/>
        </w:rPr>
        <w:t>万元。</w:t>
      </w:r>
      <w:r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根据《商业银行大额风险暴露管理办法》规定：商业银行对同业单一客户的风险暴露不得超过一级资本净额的25%。故本行对</w:t>
      </w:r>
      <w:r w:rsidR="005A2396" w:rsidRPr="005A2396"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广州农村商业银行股份有限公司</w:t>
      </w:r>
      <w:r w:rsidR="005A2396"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同业</w:t>
      </w:r>
      <w:r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授信额度按不高于年初一</w:t>
      </w:r>
      <w:proofErr w:type="gramStart"/>
      <w:r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级资本</w:t>
      </w:r>
      <w:proofErr w:type="gramEnd"/>
      <w:r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净额25%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  <w:lang w:eastAsia="zh-CN"/>
        </w:rPr>
        <w:t>（4,</w:t>
      </w:r>
      <w:r w:rsidR="00DE68A5">
        <w:rPr>
          <w:rFonts w:ascii="仿宋_GB2312" w:eastAsia="仿宋_GB2312" w:hAnsi="Times New Roman" w:hint="eastAsia"/>
          <w:color w:val="000000" w:themeColor="text1"/>
          <w:sz w:val="32"/>
          <w:szCs w:val="32"/>
          <w:lang w:eastAsia="zh-CN"/>
        </w:rPr>
        <w:t>303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  <w:lang w:eastAsia="zh-CN"/>
        </w:rPr>
        <w:t>万元）</w:t>
      </w:r>
      <w:r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进行授信。</w:t>
      </w:r>
      <w:bookmarkStart w:id="1" w:name="_GoBack"/>
      <w:bookmarkEnd w:id="1"/>
    </w:p>
    <w:p w:rsidR="00936691" w:rsidRDefault="00711D7B">
      <w:pPr>
        <w:pStyle w:val="a5"/>
        <w:adjustRightInd w:val="0"/>
        <w:spacing w:line="580" w:lineRule="exact"/>
        <w:ind w:firstLineChars="200" w:firstLine="640"/>
        <w:rPr>
          <w:rFonts w:ascii="仿宋_GB2312" w:eastAsia="仿宋_GB2312" w:hAnsi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lastRenderedPageBreak/>
        <w:t>本次授信额度</w:t>
      </w:r>
      <w:r w:rsidR="00F00656">
        <w:rPr>
          <w:rFonts w:ascii="仿宋_GB2312" w:eastAsia="仿宋_GB2312" w:hAnsi="Times New Roman" w:hint="eastAsia"/>
          <w:color w:val="auto"/>
          <w:sz w:val="32"/>
          <w:szCs w:val="32"/>
          <w:lang w:eastAsia="zh-CN"/>
        </w:rPr>
        <w:t>情况如下：</w:t>
      </w:r>
    </w:p>
    <w:tbl>
      <w:tblPr>
        <w:tblW w:w="8496" w:type="dxa"/>
        <w:jc w:val="center"/>
        <w:tblInd w:w="14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25"/>
        <w:gridCol w:w="2012"/>
        <w:gridCol w:w="1408"/>
      </w:tblGrid>
      <w:tr w:rsidR="00936691" w:rsidTr="005A2396">
        <w:trPr>
          <w:trHeight w:val="330"/>
          <w:jc w:val="center"/>
        </w:trPr>
        <w:tc>
          <w:tcPr>
            <w:tcW w:w="85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D0E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6691" w:rsidRDefault="00F00656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25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D0E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6691" w:rsidRDefault="00F00656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开户行名称</w:t>
            </w:r>
          </w:p>
        </w:tc>
        <w:tc>
          <w:tcPr>
            <w:tcW w:w="2012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D0E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6691" w:rsidRDefault="00F00656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授信额度（万元）</w:t>
            </w:r>
          </w:p>
        </w:tc>
        <w:tc>
          <w:tcPr>
            <w:tcW w:w="140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D0E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36691" w:rsidRDefault="00F00656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有效期</w:t>
            </w:r>
          </w:p>
        </w:tc>
      </w:tr>
      <w:tr w:rsidR="00803F67" w:rsidTr="005A2396">
        <w:trPr>
          <w:trHeight w:val="330"/>
          <w:jc w:val="center"/>
        </w:trPr>
        <w:tc>
          <w:tcPr>
            <w:tcW w:w="85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3F67" w:rsidRPr="00E07C3F" w:rsidRDefault="00803F67" w:rsidP="00803F67">
            <w:pPr>
              <w:jc w:val="center"/>
            </w:pPr>
            <w:r w:rsidRPr="00E07C3F">
              <w:rPr>
                <w:rFonts w:hint="eastAsia"/>
              </w:rPr>
              <w:t>1</w:t>
            </w:r>
          </w:p>
        </w:tc>
        <w:tc>
          <w:tcPr>
            <w:tcW w:w="4225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3F67" w:rsidRPr="00E07C3F" w:rsidRDefault="00803F67" w:rsidP="00803F67">
            <w:pPr>
              <w:jc w:val="center"/>
            </w:pPr>
            <w:r w:rsidRPr="00E07C3F">
              <w:rPr>
                <w:rFonts w:hint="eastAsia"/>
              </w:rPr>
              <w:t>广州农村商业银行股份有限公司</w:t>
            </w:r>
          </w:p>
        </w:tc>
        <w:tc>
          <w:tcPr>
            <w:tcW w:w="2012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3F67" w:rsidRDefault="00803F67" w:rsidP="00C77280">
            <w:pPr>
              <w:jc w:val="center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  <w:r w:rsidR="00711D7B">
              <w:rPr>
                <w:rFonts w:ascii="仿宋_GB2312" w:eastAsia="仿宋_GB2312" w:hAnsi="仿宋" w:hint="eastAsia"/>
                <w:sz w:val="24"/>
                <w:szCs w:val="24"/>
              </w:rPr>
              <w:t>,</w:t>
            </w:r>
            <w:r w:rsidR="00DE68A5"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 w:rsidR="00711D7B">
              <w:rPr>
                <w:rFonts w:ascii="仿宋_GB2312" w:eastAsia="仿宋_GB2312" w:hAnsi="仿宋" w:hint="eastAsia"/>
                <w:sz w:val="24"/>
                <w:szCs w:val="24"/>
              </w:rPr>
              <w:t>00.00</w:t>
            </w:r>
          </w:p>
        </w:tc>
        <w:tc>
          <w:tcPr>
            <w:tcW w:w="1408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3F67" w:rsidRDefault="00803F6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12个月</w:t>
            </w:r>
          </w:p>
        </w:tc>
      </w:tr>
    </w:tbl>
    <w:p w:rsidR="00936691" w:rsidRDefault="00936691">
      <w:pPr>
        <w:pStyle w:val="a5"/>
        <w:adjustRightInd w:val="0"/>
        <w:spacing w:line="600" w:lineRule="exact"/>
        <w:rPr>
          <w:rFonts w:ascii="仿宋_GB2312" w:eastAsia="仿宋_GB2312" w:hAnsi="Times New Roman"/>
          <w:color w:val="auto"/>
          <w:sz w:val="32"/>
          <w:szCs w:val="32"/>
          <w:lang w:eastAsia="zh-CN"/>
        </w:rPr>
      </w:pPr>
    </w:p>
    <w:sectPr w:rsidR="0093669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F7A"/>
    <w:rsid w:val="000040E2"/>
    <w:rsid w:val="00083A4B"/>
    <w:rsid w:val="000D3A82"/>
    <w:rsid w:val="00104CC3"/>
    <w:rsid w:val="001C561F"/>
    <w:rsid w:val="001F78FE"/>
    <w:rsid w:val="002052FF"/>
    <w:rsid w:val="00206018"/>
    <w:rsid w:val="00217337"/>
    <w:rsid w:val="00221796"/>
    <w:rsid w:val="00232FF9"/>
    <w:rsid w:val="00234129"/>
    <w:rsid w:val="00245EB2"/>
    <w:rsid w:val="002517BC"/>
    <w:rsid w:val="00252377"/>
    <w:rsid w:val="00262495"/>
    <w:rsid w:val="002B3F32"/>
    <w:rsid w:val="002C6CAA"/>
    <w:rsid w:val="002F0C1C"/>
    <w:rsid w:val="002F447D"/>
    <w:rsid w:val="00303365"/>
    <w:rsid w:val="00337B35"/>
    <w:rsid w:val="00386516"/>
    <w:rsid w:val="00395F2B"/>
    <w:rsid w:val="003963F8"/>
    <w:rsid w:val="003C3233"/>
    <w:rsid w:val="003D59A4"/>
    <w:rsid w:val="003E07E0"/>
    <w:rsid w:val="003F2715"/>
    <w:rsid w:val="004262C8"/>
    <w:rsid w:val="00452EF2"/>
    <w:rsid w:val="00454B02"/>
    <w:rsid w:val="004D5CC4"/>
    <w:rsid w:val="0053303F"/>
    <w:rsid w:val="005423BB"/>
    <w:rsid w:val="00582F61"/>
    <w:rsid w:val="00597239"/>
    <w:rsid w:val="005A2396"/>
    <w:rsid w:val="005B1C20"/>
    <w:rsid w:val="005E3ABA"/>
    <w:rsid w:val="005F4BCB"/>
    <w:rsid w:val="0063587C"/>
    <w:rsid w:val="0064554D"/>
    <w:rsid w:val="00651F7A"/>
    <w:rsid w:val="00652935"/>
    <w:rsid w:val="00661552"/>
    <w:rsid w:val="00685239"/>
    <w:rsid w:val="006E2990"/>
    <w:rsid w:val="006F3B0B"/>
    <w:rsid w:val="007043E9"/>
    <w:rsid w:val="00711D7B"/>
    <w:rsid w:val="007165EE"/>
    <w:rsid w:val="00741175"/>
    <w:rsid w:val="007550ED"/>
    <w:rsid w:val="0079243C"/>
    <w:rsid w:val="007B55F0"/>
    <w:rsid w:val="007D5A96"/>
    <w:rsid w:val="007E2446"/>
    <w:rsid w:val="007E5163"/>
    <w:rsid w:val="007E55BD"/>
    <w:rsid w:val="007F432D"/>
    <w:rsid w:val="00803F67"/>
    <w:rsid w:val="00811731"/>
    <w:rsid w:val="00827F4B"/>
    <w:rsid w:val="008A2938"/>
    <w:rsid w:val="008A33FB"/>
    <w:rsid w:val="009100C7"/>
    <w:rsid w:val="0092229E"/>
    <w:rsid w:val="00936691"/>
    <w:rsid w:val="00937C3A"/>
    <w:rsid w:val="0094172B"/>
    <w:rsid w:val="00971667"/>
    <w:rsid w:val="00980863"/>
    <w:rsid w:val="00987E74"/>
    <w:rsid w:val="009A67E2"/>
    <w:rsid w:val="009C0D02"/>
    <w:rsid w:val="009C33C2"/>
    <w:rsid w:val="009C5562"/>
    <w:rsid w:val="009C58C2"/>
    <w:rsid w:val="009C6452"/>
    <w:rsid w:val="009F4BD0"/>
    <w:rsid w:val="00A213A2"/>
    <w:rsid w:val="00A22C45"/>
    <w:rsid w:val="00A64000"/>
    <w:rsid w:val="00A8274D"/>
    <w:rsid w:val="00A9361D"/>
    <w:rsid w:val="00AB0F96"/>
    <w:rsid w:val="00AB369C"/>
    <w:rsid w:val="00AE7B34"/>
    <w:rsid w:val="00B00F67"/>
    <w:rsid w:val="00B15239"/>
    <w:rsid w:val="00B17B25"/>
    <w:rsid w:val="00B22A4C"/>
    <w:rsid w:val="00B513AE"/>
    <w:rsid w:val="00BD7AB3"/>
    <w:rsid w:val="00BF7D65"/>
    <w:rsid w:val="00C51206"/>
    <w:rsid w:val="00C77280"/>
    <w:rsid w:val="00C85710"/>
    <w:rsid w:val="00CE5953"/>
    <w:rsid w:val="00CF1D56"/>
    <w:rsid w:val="00D01AE7"/>
    <w:rsid w:val="00D0260F"/>
    <w:rsid w:val="00D0524F"/>
    <w:rsid w:val="00D15019"/>
    <w:rsid w:val="00D73582"/>
    <w:rsid w:val="00D741F7"/>
    <w:rsid w:val="00D75F4B"/>
    <w:rsid w:val="00DB6987"/>
    <w:rsid w:val="00DD0E10"/>
    <w:rsid w:val="00DE1190"/>
    <w:rsid w:val="00DE68A5"/>
    <w:rsid w:val="00DF4EDC"/>
    <w:rsid w:val="00E03371"/>
    <w:rsid w:val="00E50A0A"/>
    <w:rsid w:val="00E545B5"/>
    <w:rsid w:val="00EA1F08"/>
    <w:rsid w:val="00EA3326"/>
    <w:rsid w:val="00EB356F"/>
    <w:rsid w:val="00ED0972"/>
    <w:rsid w:val="00ED4C72"/>
    <w:rsid w:val="00EE44B8"/>
    <w:rsid w:val="00F0044E"/>
    <w:rsid w:val="00F00656"/>
    <w:rsid w:val="00F25ED9"/>
    <w:rsid w:val="00F358E4"/>
    <w:rsid w:val="00F51EA0"/>
    <w:rsid w:val="00F713D3"/>
    <w:rsid w:val="00F767E8"/>
    <w:rsid w:val="00F815D0"/>
    <w:rsid w:val="00F823D2"/>
    <w:rsid w:val="00FB2DA2"/>
    <w:rsid w:val="00FB35B9"/>
    <w:rsid w:val="00FC32DE"/>
    <w:rsid w:val="00FC3324"/>
    <w:rsid w:val="00FE652D"/>
    <w:rsid w:val="00FF2A58"/>
    <w:rsid w:val="00FF6BC5"/>
    <w:rsid w:val="00FF75A6"/>
    <w:rsid w:val="18F1299A"/>
    <w:rsid w:val="51210444"/>
    <w:rsid w:val="56150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 w:unhideWhenUsed="0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0"/>
    <w:link w:val="1Char"/>
    <w:qFormat/>
    <w:pPr>
      <w:keepNext/>
      <w:spacing w:after="240"/>
      <w:jc w:val="center"/>
      <w:outlineLvl w:val="0"/>
    </w:pPr>
    <w:rPr>
      <w:rFonts w:ascii="Arial Bold" w:eastAsia="方正小标宋简体" w:hAnsi="Arial Bold"/>
      <w:b/>
      <w:kern w:val="28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pPr>
      <w:spacing w:after="120"/>
    </w:p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1"/>
    <w:rPr>
      <w:rFonts w:ascii="Courier New" w:eastAsia="楷体_GB2312" w:hAnsi="Courier New" w:cstheme="minorBidi"/>
      <w:color w:val="000000"/>
      <w:sz w:val="24"/>
      <w:szCs w:val="22"/>
      <w:lang w:eastAsia="en-US"/>
    </w:rPr>
  </w:style>
  <w:style w:type="paragraph" w:styleId="a6">
    <w:name w:val="Date"/>
    <w:basedOn w:val="a"/>
    <w:next w:val="a"/>
    <w:link w:val="Char2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Char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spacing w:after="120"/>
      <w:ind w:left="283"/>
    </w:pPr>
    <w:rPr>
      <w:rFonts w:ascii="Arial" w:eastAsia="楷体_GB2312" w:hAnsi="Arial" w:cstheme="minorBidi"/>
      <w:color w:val="000000"/>
      <w:sz w:val="16"/>
      <w:szCs w:val="22"/>
      <w:lang w:eastAsia="en-US"/>
    </w:rPr>
  </w:style>
  <w:style w:type="paragraph" w:styleId="aa">
    <w:name w:val="Normal (Web)"/>
    <w:basedOn w:val="a"/>
  </w:style>
  <w:style w:type="paragraph" w:styleId="ab">
    <w:name w:val="Title"/>
    <w:basedOn w:val="a"/>
    <w:link w:val="Char6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ac">
    <w:name w:val="annotation subject"/>
    <w:basedOn w:val="a4"/>
    <w:next w:val="a4"/>
    <w:link w:val="Char7"/>
    <w:uiPriority w:val="99"/>
    <w:semiHidden/>
    <w:unhideWhenUsed/>
    <w:qFormat/>
    <w:rPr>
      <w:b/>
      <w:bCs/>
    </w:rPr>
  </w:style>
  <w:style w:type="character" w:styleId="ad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5">
    <w:name w:val="页眉 Char"/>
    <w:basedOn w:val="a1"/>
    <w:link w:val="a9"/>
    <w:uiPriority w:val="99"/>
    <w:rPr>
      <w:sz w:val="18"/>
      <w:szCs w:val="18"/>
    </w:rPr>
  </w:style>
  <w:style w:type="character" w:customStyle="1" w:styleId="Char4">
    <w:name w:val="页脚 Char"/>
    <w:basedOn w:val="a1"/>
    <w:link w:val="a8"/>
    <w:uiPriority w:val="99"/>
    <w:rPr>
      <w:sz w:val="18"/>
      <w:szCs w:val="18"/>
    </w:rPr>
  </w:style>
  <w:style w:type="character" w:customStyle="1" w:styleId="1Char">
    <w:name w:val="标题 1 Char"/>
    <w:basedOn w:val="a1"/>
    <w:link w:val="1"/>
    <w:rPr>
      <w:rFonts w:ascii="Arial Bold" w:eastAsia="方正小标宋简体" w:hAnsi="Arial Bold" w:cs="Times New Roman"/>
      <w:b/>
      <w:kern w:val="28"/>
      <w:sz w:val="36"/>
      <w:szCs w:val="20"/>
    </w:rPr>
  </w:style>
  <w:style w:type="character" w:customStyle="1" w:styleId="3Char">
    <w:name w:val="正文文本缩进 3 Char"/>
    <w:link w:val="3"/>
    <w:qFormat/>
    <w:rPr>
      <w:rFonts w:ascii="Arial" w:eastAsia="楷体_GB2312" w:hAnsi="Arial"/>
      <w:color w:val="000000"/>
      <w:sz w:val="16"/>
      <w:lang w:eastAsia="en-US"/>
    </w:rPr>
  </w:style>
  <w:style w:type="character" w:customStyle="1" w:styleId="Char1">
    <w:name w:val="纯文本 Char"/>
    <w:link w:val="a5"/>
    <w:rPr>
      <w:rFonts w:ascii="Courier New" w:eastAsia="楷体_GB2312" w:hAnsi="Courier New"/>
      <w:color w:val="000000"/>
      <w:sz w:val="24"/>
      <w:lang w:eastAsia="en-US"/>
    </w:rPr>
  </w:style>
  <w:style w:type="paragraph" w:customStyle="1" w:styleId="10">
    <w:name w:val="纯文本1"/>
    <w:basedOn w:val="a"/>
    <w:rPr>
      <w:rFonts w:ascii="Courier New" w:hAnsi="Courier New" w:cs="Courier New"/>
      <w:szCs w:val="24"/>
    </w:rPr>
  </w:style>
  <w:style w:type="paragraph" w:customStyle="1" w:styleId="KWBodytext">
    <w:name w:val="K&amp;W Body text"/>
    <w:basedOn w:val="a"/>
    <w:pPr>
      <w:widowControl/>
      <w:spacing w:after="360" w:line="320" w:lineRule="atLeast"/>
      <w:ind w:firstLineChars="200" w:firstLine="200"/>
    </w:pPr>
    <w:rPr>
      <w:rFonts w:ascii="Arial" w:eastAsia="楷体_GB2312" w:hAnsi="Arial"/>
      <w:kern w:val="0"/>
      <w:sz w:val="24"/>
      <w:lang w:eastAsia="en-US"/>
    </w:rPr>
  </w:style>
  <w:style w:type="character" w:customStyle="1" w:styleId="3Char1">
    <w:name w:val="正文文本缩进 3 Char1"/>
    <w:basedOn w:val="a1"/>
    <w:uiPriority w:val="99"/>
    <w:semiHidden/>
    <w:rPr>
      <w:rFonts w:ascii="Times New Roman" w:eastAsia="宋体" w:hAnsi="Times New Roman" w:cs="Times New Roman"/>
      <w:sz w:val="16"/>
      <w:szCs w:val="16"/>
    </w:rPr>
  </w:style>
  <w:style w:type="character" w:customStyle="1" w:styleId="Char6">
    <w:name w:val="标题 Char"/>
    <w:basedOn w:val="a1"/>
    <w:link w:val="ab"/>
    <w:rPr>
      <w:rFonts w:ascii="Times New Roman" w:eastAsia="宋体" w:hAnsi="Times New Roman" w:cs="Times New Roman"/>
      <w:b/>
      <w:kern w:val="28"/>
      <w:sz w:val="32"/>
      <w:szCs w:val="20"/>
    </w:rPr>
  </w:style>
  <w:style w:type="character" w:customStyle="1" w:styleId="Char10">
    <w:name w:val="纯文本 Char1"/>
    <w:basedOn w:val="a1"/>
    <w:uiPriority w:val="99"/>
    <w:semiHidden/>
    <w:rPr>
      <w:rFonts w:ascii="宋体" w:eastAsia="宋体" w:hAnsi="Courier New" w:cs="Courier New"/>
      <w:szCs w:val="21"/>
    </w:rPr>
  </w:style>
  <w:style w:type="paragraph" w:customStyle="1" w:styleId="11">
    <w:name w:val="普通(网站)1"/>
    <w:basedOn w:val="a"/>
    <w:rPr>
      <w:szCs w:val="24"/>
    </w:rPr>
  </w:style>
  <w:style w:type="character" w:customStyle="1" w:styleId="Char">
    <w:name w:val="正文文本 Char"/>
    <w:basedOn w:val="a1"/>
    <w:link w:val="a0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Char2">
    <w:name w:val="日期 Char"/>
    <w:basedOn w:val="a1"/>
    <w:link w:val="a6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0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7">
    <w:name w:val="批注主题 Char"/>
    <w:basedOn w:val="Char0"/>
    <w:link w:val="ac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Char3">
    <w:name w:val="批注框文本 Char"/>
    <w:basedOn w:val="a1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65</Words>
  <Characters>375</Characters>
  <Application>Microsoft Office Word</Application>
  <DocSecurity>0</DocSecurity>
  <Lines>3</Lines>
  <Paragraphs>1</Paragraphs>
  <ScaleCrop>false</ScaleCrop>
  <Company>中国中铁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JonMMx 2000</cp:lastModifiedBy>
  <cp:revision>59</cp:revision>
  <cp:lastPrinted>2019-05-22T04:51:00Z</cp:lastPrinted>
  <dcterms:created xsi:type="dcterms:W3CDTF">2020-05-18T05:16:00Z</dcterms:created>
  <dcterms:modified xsi:type="dcterms:W3CDTF">2026-05-09T01:00:00Z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78E6F5098C2143E8BC8DD4FA12A282EF</vt:lpwstr>
  </property>
</Properties>
</file>