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sz w:val="32"/>
          <w:szCs w:val="32"/>
        </w:rPr>
      </w:pPr>
      <w:r>
        <w:rPr>
          <w:rFonts w:hint="eastAsia" w:ascii="仿宋_GB2312" w:hAnsi="仿宋" w:eastAsia="仿宋_GB2312" w:cs="仿宋"/>
          <w:sz w:val="32"/>
          <w:szCs w:val="32"/>
        </w:rPr>
        <w:t>附件：</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广汉珠江村镇银行股份有限公司</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2025年度关联交易管理制度执行情况及关联交易情况的专项报告</w:t>
      </w:r>
    </w:p>
    <w:p>
      <w:pPr>
        <w:rPr>
          <w:rFonts w:ascii="仿宋_GB2312" w:hAnsi="仿宋_GB2312" w:eastAsia="仿宋_GB2312" w:cs="仿宋_GB2312"/>
          <w:bCs/>
          <w:sz w:val="28"/>
          <w:szCs w:val="28"/>
        </w:rPr>
      </w:pPr>
    </w:p>
    <w:p>
      <w:pPr>
        <w:spacing w:line="540" w:lineRule="exact"/>
        <w:rPr>
          <w:rFonts w:ascii="仿宋_GB2312" w:eastAsia="仿宋_GB2312"/>
          <w:sz w:val="32"/>
          <w:szCs w:val="32"/>
        </w:rPr>
      </w:pPr>
      <w:r>
        <w:rPr>
          <w:rFonts w:hint="eastAsia" w:ascii="仿宋_GB2312" w:eastAsia="仿宋_GB2312"/>
          <w:sz w:val="32"/>
          <w:szCs w:val="32"/>
        </w:rPr>
        <w:t xml:space="preserve">    根据《商业银行与内部人和股东关联交易管理办法》以及《广汉珠江村镇银行股份有限公司关联交易管理办法》（以下简称“关联交易管理办法”）要求，现将本行关联交易管理制度的执行情况以及关联交易情况向股东大会报告如下：</w:t>
      </w:r>
    </w:p>
    <w:p>
      <w:pPr>
        <w:spacing w:line="520" w:lineRule="exact"/>
        <w:ind w:firstLine="459"/>
        <w:rPr>
          <w:rFonts w:ascii="仿宋_GB2312" w:hAnsi="黑体" w:eastAsia="仿宋_GB2312" w:cs="黑体"/>
          <w:b/>
          <w:sz w:val="32"/>
          <w:szCs w:val="32"/>
        </w:rPr>
      </w:pPr>
      <w:r>
        <w:rPr>
          <w:rFonts w:hint="eastAsia" w:ascii="仿宋_GB2312" w:hAnsi="黑体" w:eastAsia="仿宋_GB2312" w:cs="黑体"/>
          <w:b/>
          <w:sz w:val="32"/>
          <w:szCs w:val="32"/>
        </w:rPr>
        <w:t xml:space="preserve"> 一、关联主体情况</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2025年，本行发生的关联交易为与主发起行及其子银行的同业业务交易。</w:t>
      </w:r>
    </w:p>
    <w:p>
      <w:pPr>
        <w:spacing w:line="54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二、关联交易制度建设情况</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本行在《公司章程》中明确了关联交易相关规定，并</w:t>
      </w:r>
      <w:r>
        <w:rPr>
          <w:rFonts w:hint="eastAsia" w:ascii="仿宋_GB2312" w:hAnsi="Times New Roman" w:eastAsia="仿宋_GB2312"/>
          <w:sz w:val="32"/>
          <w:szCs w:val="32"/>
        </w:rPr>
        <w:t>根据《银行保险机构关联交易管理办法》（银保监会令2022年第1号）、《中国银保监会农村银行部关于加强农村中小银行机构关联交易监管的通知》（银保监农银发【2019】43号）、《企业会计准则第36号-关联方披露》等规章，</w:t>
      </w:r>
      <w:r>
        <w:rPr>
          <w:rFonts w:hint="eastAsia" w:ascii="仿宋_GB2312" w:eastAsia="仿宋_GB2312"/>
          <w:sz w:val="32"/>
          <w:szCs w:val="32"/>
        </w:rPr>
        <w:t>制定了</w:t>
      </w:r>
      <w:r>
        <w:rPr>
          <w:rFonts w:hint="eastAsia" w:ascii="仿宋_GB2312" w:hAnsi="楷体" w:eastAsia="仿宋_GB2312" w:cs="宋体"/>
          <w:kern w:val="0"/>
          <w:sz w:val="32"/>
          <w:szCs w:val="32"/>
        </w:rPr>
        <w:t>《广汉珠江村镇银行股份有限公司关联交易管理办法》</w:t>
      </w:r>
      <w:r>
        <w:rPr>
          <w:rFonts w:hint="eastAsia" w:ascii="仿宋_GB2312" w:eastAsia="仿宋_GB2312"/>
          <w:sz w:val="32"/>
          <w:szCs w:val="32"/>
        </w:rPr>
        <w:t>，并严格执行章程和关联交易管理办法相关规定。经查，</w:t>
      </w:r>
      <w:r>
        <w:rPr>
          <w:rFonts w:hint="eastAsia" w:ascii="仿宋_GB2312" w:hAnsi="仿宋" w:eastAsia="仿宋_GB2312" w:cs="仿宋"/>
          <w:sz w:val="32"/>
          <w:szCs w:val="32"/>
        </w:rPr>
        <w:t>本行于2018年5月23日成立了</w:t>
      </w:r>
      <w:r>
        <w:rPr>
          <w:rFonts w:hint="eastAsia" w:ascii="仿宋_GB2312" w:eastAsia="仿宋_GB2312"/>
          <w:sz w:val="32"/>
          <w:szCs w:val="32"/>
        </w:rPr>
        <w:t>关联交易与风险管理委员会</w:t>
      </w:r>
      <w:r>
        <w:rPr>
          <w:rFonts w:hint="eastAsia" w:ascii="仿宋_GB2312" w:hAnsi="宋体" w:eastAsia="仿宋_GB2312"/>
          <w:sz w:val="32"/>
          <w:szCs w:val="32"/>
        </w:rPr>
        <w:t>，并</w:t>
      </w:r>
      <w:r>
        <w:rPr>
          <w:rFonts w:hint="eastAsia" w:ascii="仿宋_GB2312" w:eastAsia="仿宋_GB2312"/>
          <w:sz w:val="32"/>
          <w:szCs w:val="32"/>
        </w:rPr>
        <w:t>于2024年2月修订了《</w:t>
      </w:r>
      <w:r>
        <w:rPr>
          <w:rFonts w:hint="eastAsia" w:ascii="仿宋_GB2312" w:hAnsi="楷体" w:eastAsia="仿宋_GB2312" w:cs="宋体"/>
          <w:kern w:val="0"/>
          <w:sz w:val="32"/>
          <w:szCs w:val="32"/>
        </w:rPr>
        <w:t>广汉珠江村镇银行股份有限公司关联交易管理办法（2024年修订）</w:t>
      </w:r>
      <w:r>
        <w:rPr>
          <w:rFonts w:hint="eastAsia" w:ascii="仿宋_GB2312" w:eastAsia="仿宋_GB2312"/>
          <w:sz w:val="32"/>
          <w:szCs w:val="32"/>
        </w:rPr>
        <w:t>》《广汉珠江村镇银行股份有限公司董事会关联交易与风险管理委员会议事规则（2024年修订）》。</w:t>
      </w:r>
    </w:p>
    <w:p>
      <w:pPr>
        <w:spacing w:line="520" w:lineRule="exact"/>
        <w:ind w:firstLine="643" w:firstLineChars="200"/>
        <w:rPr>
          <w:rFonts w:ascii="仿宋_GB2312" w:hAnsi="黑体" w:eastAsia="仿宋_GB2312" w:cs="黑体"/>
          <w:b/>
          <w:sz w:val="32"/>
          <w:szCs w:val="32"/>
        </w:rPr>
      </w:pPr>
      <w:r>
        <w:rPr>
          <w:rFonts w:hint="eastAsia" w:ascii="仿宋_GB2312" w:hAnsi="黑体" w:eastAsia="仿宋_GB2312" w:cs="黑体"/>
          <w:b/>
          <w:sz w:val="32"/>
          <w:szCs w:val="32"/>
        </w:rPr>
        <w:t>三、关联交易制度执行情况</w:t>
      </w:r>
    </w:p>
    <w:p>
      <w:pPr>
        <w:pStyle w:val="2"/>
        <w:spacing w:line="600" w:lineRule="exact"/>
        <w:rPr>
          <w:rFonts w:hAnsi="仿宋"/>
          <w:snapToGrid w:val="0"/>
        </w:rPr>
      </w:pPr>
      <w:r>
        <w:rPr>
          <w:rFonts w:hint="eastAsia"/>
        </w:rPr>
        <w:t>本行关联交易管理办法规定</w:t>
      </w:r>
      <w:r>
        <w:rPr>
          <w:rFonts w:hint="eastAsia" w:hAnsi="仿宋"/>
          <w:snapToGrid w:val="0"/>
        </w:rPr>
        <w:t>：本行关联交易分为重大关联交易和一般关联交易。重大关联交易是指本行与单个关联方之间单笔交易金额达到本行上季末资本净额1%以上，或累计达到本行上季末资本净额5%以上的交易。本行与单个关联方的交易金额累计达到前款标准后，其后发生的关联交易，每累计达到上季末资本净额1%以上，则应当重新认定为重大关联交易。一般关联交易是指除重大关联交易以外的其他关联交易。</w:t>
      </w:r>
    </w:p>
    <w:p>
      <w:pPr>
        <w:pStyle w:val="2"/>
        <w:spacing w:line="600" w:lineRule="exact"/>
        <w:rPr>
          <w:rFonts w:hAnsi="仿宋"/>
          <w:snapToGrid w:val="0"/>
        </w:rPr>
      </w:pPr>
      <w:r>
        <w:rPr>
          <w:rFonts w:hint="eastAsia" w:hAnsi="仿宋"/>
          <w:snapToGrid w:val="0"/>
        </w:rPr>
        <w:t>本行按照实质重于形式和穿透原则，识别、认定、管理关联交易及计算关联交易金额。计算关联自然人与本行的关联交易余额时，其配偶、父母、成年子女、兄弟姐妹等与本行的关联交易应当合并计算；计算关联法人或非法人组织与本行的关联交易余额时，与其存在控制关系的法人或非法人组织与本行的关联交易应当合并计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行一般关联交易按照本行内部管理制度和授权程序审查后,报关联交易与风险管理委员会备案；重大关联交易经由关联交易与风险管理委员会审查后，提交董事会批准。董事会会议所作决议须经非关联董事2/3以上通过。出席董事会会议的非关联董事人数不足三人的，应当提交股东大会审议。重大关联交易应当在批准之日起10个工作日内报告监事会，同时报告中国银行业监督管理机构；与本行董事、高级管理人员有关联关系的关联交易应当在批准之日起10个工作日内报告监事会；董事会应当每年向股东会就本行关联交易管理制度的执行情况以及关联交易情况作出专项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报告期内，未发现本行关联交易有损坏本行和股东利益的行为。</w:t>
      </w:r>
    </w:p>
    <w:p>
      <w:pPr>
        <w:spacing w:line="540" w:lineRule="exact"/>
        <w:ind w:firstLine="482" w:firstLineChars="150"/>
        <w:rPr>
          <w:rFonts w:ascii="仿宋_GB2312" w:hAnsi="黑体" w:eastAsia="仿宋_GB2312" w:cs="黑体"/>
          <w:b/>
          <w:sz w:val="32"/>
          <w:szCs w:val="32"/>
          <w:highlight w:val="none"/>
        </w:rPr>
      </w:pPr>
      <w:r>
        <w:rPr>
          <w:rFonts w:hint="eastAsia" w:ascii="仿宋_GB2312" w:hAnsi="黑体" w:eastAsia="仿宋_GB2312" w:cs="黑体"/>
          <w:b/>
          <w:sz w:val="32"/>
          <w:szCs w:val="32"/>
          <w:highlight w:val="none"/>
        </w:rPr>
        <w:t>四、</w:t>
      </w:r>
      <w:r>
        <w:rPr>
          <w:rStyle w:val="7"/>
          <w:rFonts w:hint="eastAsia" w:ascii="仿宋_GB2312" w:hAnsi="楷体" w:eastAsia="仿宋_GB2312" w:cs="楷体"/>
          <w:bCs/>
          <w:sz w:val="32"/>
          <w:szCs w:val="32"/>
          <w:highlight w:val="none"/>
        </w:rPr>
        <w:t>关联交易和重大关联交易情况</w:t>
      </w:r>
    </w:p>
    <w:p>
      <w:pPr>
        <w:spacing w:line="560" w:lineRule="exact"/>
        <w:ind w:firstLine="640" w:firstLineChars="200"/>
        <w:rPr>
          <w:rStyle w:val="8"/>
          <w:rFonts w:ascii="仿宋_GB2312" w:hAnsi="仿宋_GB2312" w:eastAsia="仿宋_GB2312"/>
          <w:color w:val="auto"/>
          <w:sz w:val="32"/>
          <w:szCs w:val="32"/>
          <w:highlight w:val="none"/>
          <w:u w:val="none"/>
        </w:rPr>
      </w:pPr>
      <w:r>
        <w:rPr>
          <w:rStyle w:val="8"/>
          <w:rFonts w:hint="eastAsia" w:ascii="仿宋_GB2312" w:hAnsi="仿宋_GB2312" w:eastAsia="仿宋_GB2312"/>
          <w:color w:val="auto"/>
          <w:sz w:val="32"/>
          <w:szCs w:val="32"/>
          <w:highlight w:val="none"/>
          <w:u w:val="none"/>
        </w:rPr>
        <w:t>（一）服务类关联交易</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支付广汉市保安服务有限公司2025年</w:t>
      </w:r>
      <w:r>
        <w:rPr>
          <w:rFonts w:hint="eastAsia" w:ascii="仿宋_GB2312" w:eastAsia="仿宋_GB2312"/>
          <w:sz w:val="32"/>
          <w:szCs w:val="32"/>
          <w:highlight w:val="none"/>
          <w:lang w:bidi="ar"/>
        </w:rPr>
        <w:t>安全保卫及自助设备巡查服务费</w:t>
      </w:r>
      <w:r>
        <w:rPr>
          <w:rFonts w:hint="eastAsia" w:ascii="仿宋_GB2312" w:eastAsia="仿宋_GB2312"/>
          <w:sz w:val="32"/>
          <w:szCs w:val="32"/>
          <w:highlight w:val="none"/>
        </w:rPr>
        <w:t>47.01万元，均属一般关联交易。</w:t>
      </w:r>
    </w:p>
    <w:p>
      <w:pPr>
        <w:adjustRightInd w:val="0"/>
        <w:snapToGrid w:val="0"/>
        <w:spacing w:before="156" w:beforeLines="50" w:line="460" w:lineRule="atLeast"/>
        <w:ind w:left="505"/>
        <w:outlineLvl w:val="0"/>
        <w:rPr>
          <w:rFonts w:ascii="宋体" w:hAnsi="宋体" w:cs="宋体"/>
          <w:b/>
          <w:bCs/>
          <w:highlight w:val="none"/>
        </w:rPr>
      </w:pPr>
      <w:r>
        <w:rPr>
          <w:rStyle w:val="8"/>
          <w:rFonts w:hint="eastAsia" w:ascii="仿宋_GB2312" w:hAnsi="仿宋_GB2312" w:eastAsia="仿宋_GB2312"/>
          <w:color w:val="auto"/>
          <w:sz w:val="32"/>
          <w:szCs w:val="32"/>
          <w:highlight w:val="none"/>
          <w:u w:val="none"/>
        </w:rPr>
        <w:t>（二）信贷交易类型及余额</w:t>
      </w:r>
    </w:p>
    <w:p>
      <w:pPr>
        <w:adjustRightInd w:val="0"/>
        <w:snapToGrid w:val="0"/>
        <w:spacing w:before="156" w:beforeLines="50" w:line="460" w:lineRule="atLeast"/>
        <w:ind w:left="505"/>
        <w:outlineLvl w:val="0"/>
        <w:rPr>
          <w:rFonts w:ascii="宋体" w:hAnsi="宋体" w:cs="宋体"/>
          <w:b/>
          <w:bCs/>
          <w:highlight w:val="none"/>
        </w:rPr>
      </w:pPr>
      <w:r>
        <w:rPr>
          <w:rFonts w:hint="eastAsia" w:ascii="宋体" w:hAnsi="宋体" w:cs="宋体"/>
          <w:b/>
          <w:bCs/>
          <w:highlight w:val="none"/>
        </w:rPr>
        <w:t>1.关联交易总量</w:t>
      </w:r>
    </w:p>
    <w:tbl>
      <w:tblPr>
        <w:tblStyle w:val="5"/>
        <w:tblW w:w="872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758"/>
        <w:gridCol w:w="1688"/>
        <w:gridCol w:w="915"/>
        <w:gridCol w:w="1134"/>
        <w:gridCol w:w="850"/>
        <w:gridCol w:w="851"/>
        <w:gridCol w:w="152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83" w:hRule="exact"/>
        </w:trPr>
        <w:tc>
          <w:tcPr>
            <w:tcW w:w="1758" w:type="dxa"/>
            <w:tcBorders>
              <w:top w:val="single" w:color="auto" w:sz="12" w:space="0"/>
              <w:left w:val="nil"/>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交易对象（贷款人）</w:t>
            </w:r>
          </w:p>
        </w:tc>
        <w:tc>
          <w:tcPr>
            <w:tcW w:w="1688" w:type="dxa"/>
            <w:tcBorders>
              <w:top w:val="single" w:color="auto" w:sz="12"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关联关系</w:t>
            </w:r>
          </w:p>
        </w:tc>
        <w:tc>
          <w:tcPr>
            <w:tcW w:w="915" w:type="dxa"/>
            <w:tcBorders>
              <w:top w:val="single" w:color="auto" w:sz="12"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授信金额</w:t>
            </w:r>
          </w:p>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（万元）</w:t>
            </w:r>
          </w:p>
        </w:tc>
        <w:tc>
          <w:tcPr>
            <w:tcW w:w="1134" w:type="dxa"/>
            <w:tcBorders>
              <w:top w:val="single" w:color="auto" w:sz="12"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贷款余额</w:t>
            </w:r>
          </w:p>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（万元）</w:t>
            </w:r>
          </w:p>
        </w:tc>
        <w:tc>
          <w:tcPr>
            <w:tcW w:w="850" w:type="dxa"/>
            <w:tcBorders>
              <w:top w:val="single" w:color="auto" w:sz="12"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承兑余额</w:t>
            </w:r>
          </w:p>
        </w:tc>
        <w:tc>
          <w:tcPr>
            <w:tcW w:w="851" w:type="dxa"/>
            <w:tcBorders>
              <w:top w:val="single" w:color="auto" w:sz="12"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贴现余额</w:t>
            </w:r>
          </w:p>
        </w:tc>
        <w:tc>
          <w:tcPr>
            <w:tcW w:w="1524" w:type="dxa"/>
            <w:tcBorders>
              <w:top w:val="single" w:color="auto" w:sz="12" w:space="0"/>
              <w:left w:val="dotted" w:color="auto" w:sz="4" w:space="0"/>
              <w:bottom w:val="dotted" w:color="auto" w:sz="4" w:space="0"/>
              <w:right w:val="nil"/>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54" w:hRule="exact"/>
        </w:trPr>
        <w:tc>
          <w:tcPr>
            <w:tcW w:w="1758" w:type="dxa"/>
            <w:tcBorders>
              <w:top w:val="dotted" w:color="auto" w:sz="4" w:space="0"/>
              <w:left w:val="nil"/>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薛冰</w:t>
            </w:r>
          </w:p>
        </w:tc>
        <w:tc>
          <w:tcPr>
            <w:tcW w:w="1688"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银行内部工作人员</w:t>
            </w:r>
          </w:p>
        </w:tc>
        <w:tc>
          <w:tcPr>
            <w:tcW w:w="915"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18</w:t>
            </w:r>
          </w:p>
        </w:tc>
        <w:tc>
          <w:tcPr>
            <w:tcW w:w="1134"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hint="default" w:ascii="宋体" w:hAnsi="宋体" w:eastAsia="宋体" w:cs="宋体"/>
                <w:kern w:val="0"/>
                <w:position w:val="-1"/>
                <w:sz w:val="16"/>
                <w:szCs w:val="16"/>
                <w:highlight w:val="none"/>
                <w:lang w:val="en-US" w:eastAsia="zh-CN"/>
              </w:rPr>
            </w:pPr>
            <w:r>
              <w:rPr>
                <w:rFonts w:hint="eastAsia" w:ascii="宋体" w:hAnsi="宋体" w:cs="宋体"/>
                <w:kern w:val="0"/>
                <w:position w:val="-1"/>
                <w:sz w:val="16"/>
                <w:szCs w:val="16"/>
                <w:highlight w:val="none"/>
                <w:lang w:val="en-US" w:eastAsia="zh-CN"/>
              </w:rPr>
              <w:t>7.04</w:t>
            </w:r>
          </w:p>
        </w:tc>
        <w:tc>
          <w:tcPr>
            <w:tcW w:w="850"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0</w:t>
            </w:r>
          </w:p>
        </w:tc>
        <w:tc>
          <w:tcPr>
            <w:tcW w:w="851"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0</w:t>
            </w:r>
          </w:p>
        </w:tc>
        <w:tc>
          <w:tcPr>
            <w:tcW w:w="1524" w:type="dxa"/>
            <w:tcBorders>
              <w:top w:val="dotted" w:color="auto" w:sz="4" w:space="0"/>
              <w:left w:val="dotted" w:color="auto" w:sz="4" w:space="0"/>
              <w:bottom w:val="dotted" w:color="auto" w:sz="4" w:space="0"/>
              <w:right w:val="nil"/>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房贷；</w:t>
            </w:r>
          </w:p>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为存量贷款，非2025年新增</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65" w:hRule="exact"/>
        </w:trPr>
        <w:tc>
          <w:tcPr>
            <w:tcW w:w="1758" w:type="dxa"/>
            <w:tcBorders>
              <w:top w:val="dotted" w:color="auto" w:sz="4" w:space="0"/>
              <w:left w:val="nil"/>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黄登友</w:t>
            </w:r>
          </w:p>
        </w:tc>
        <w:tc>
          <w:tcPr>
            <w:tcW w:w="1688"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银行内部工作人员</w:t>
            </w:r>
            <w:r>
              <w:rPr>
                <w:rFonts w:ascii="宋体" w:hAnsi="宋体" w:cs="宋体"/>
                <w:kern w:val="0"/>
                <w:position w:val="-1"/>
                <w:sz w:val="16"/>
                <w:szCs w:val="16"/>
                <w:highlight w:val="none"/>
              </w:rPr>
              <w:br w:type="textWrapping"/>
            </w:r>
            <w:r>
              <w:rPr>
                <w:rFonts w:hint="eastAsia" w:ascii="宋体" w:hAnsi="宋体" w:cs="宋体"/>
                <w:kern w:val="0"/>
                <w:position w:val="-1"/>
                <w:sz w:val="16"/>
                <w:szCs w:val="16"/>
                <w:highlight w:val="none"/>
              </w:rPr>
              <w:t>亲属</w:t>
            </w:r>
          </w:p>
        </w:tc>
        <w:tc>
          <w:tcPr>
            <w:tcW w:w="915"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45</w:t>
            </w:r>
          </w:p>
        </w:tc>
        <w:tc>
          <w:tcPr>
            <w:tcW w:w="1134"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40</w:t>
            </w:r>
          </w:p>
        </w:tc>
        <w:tc>
          <w:tcPr>
            <w:tcW w:w="850"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0</w:t>
            </w:r>
          </w:p>
        </w:tc>
        <w:tc>
          <w:tcPr>
            <w:tcW w:w="851"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0</w:t>
            </w:r>
          </w:p>
        </w:tc>
        <w:tc>
          <w:tcPr>
            <w:tcW w:w="1524" w:type="dxa"/>
            <w:tcBorders>
              <w:top w:val="dotted" w:color="auto" w:sz="4" w:space="0"/>
              <w:left w:val="dotted" w:color="auto" w:sz="4" w:space="0"/>
              <w:bottom w:val="dotted" w:color="auto" w:sz="4" w:space="0"/>
              <w:right w:val="nil"/>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经营性</w:t>
            </w:r>
            <w:r>
              <w:rPr>
                <w:rFonts w:ascii="宋体" w:hAnsi="宋体" w:cs="宋体"/>
                <w:kern w:val="0"/>
                <w:position w:val="-1"/>
                <w:sz w:val="16"/>
                <w:szCs w:val="16"/>
                <w:highlight w:val="none"/>
              </w:rPr>
              <w:t>贷款</w:t>
            </w:r>
            <w:r>
              <w:rPr>
                <w:rFonts w:hint="eastAsia" w:ascii="宋体" w:hAnsi="宋体" w:cs="宋体"/>
                <w:kern w:val="0"/>
                <w:position w:val="-1"/>
                <w:sz w:val="16"/>
                <w:szCs w:val="16"/>
                <w:highlight w:val="none"/>
              </w:rPr>
              <w:t>，为存量贷款，非2025年新增。该客户为我行员工柜员黄米佳父亲</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842" w:hRule="exact"/>
        </w:trPr>
        <w:tc>
          <w:tcPr>
            <w:tcW w:w="3446" w:type="dxa"/>
            <w:gridSpan w:val="2"/>
            <w:tcBorders>
              <w:top w:val="dotted" w:color="auto" w:sz="4" w:space="0"/>
              <w:left w:val="nil"/>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合计</w:t>
            </w:r>
          </w:p>
        </w:tc>
        <w:tc>
          <w:tcPr>
            <w:tcW w:w="915"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63</w:t>
            </w:r>
          </w:p>
        </w:tc>
        <w:tc>
          <w:tcPr>
            <w:tcW w:w="1134" w:type="dxa"/>
            <w:tcBorders>
              <w:top w:val="dotted" w:color="auto" w:sz="4" w:space="0"/>
              <w:left w:val="dotted" w:color="auto" w:sz="4" w:space="0"/>
              <w:bottom w:val="dotted" w:color="auto" w:sz="4" w:space="0"/>
              <w:right w:val="dotted" w:color="auto" w:sz="4" w:space="0"/>
            </w:tcBorders>
            <w:noWrap/>
            <w:vAlign w:val="center"/>
          </w:tcPr>
          <w:p>
            <w:pPr>
              <w:snapToGrid w:val="0"/>
              <w:jc w:val="center"/>
              <w:outlineLvl w:val="0"/>
              <w:rPr>
                <w:rFonts w:hint="default" w:ascii="宋体" w:hAnsi="宋体" w:eastAsia="宋体" w:cs="宋体"/>
                <w:kern w:val="0"/>
                <w:position w:val="-1"/>
                <w:sz w:val="16"/>
                <w:szCs w:val="16"/>
                <w:highlight w:val="none"/>
                <w:lang w:val="en-US" w:eastAsia="zh-CN"/>
              </w:rPr>
            </w:pPr>
            <w:r>
              <w:rPr>
                <w:rFonts w:hint="eastAsia" w:ascii="宋体" w:hAnsi="宋体" w:cs="宋体"/>
                <w:kern w:val="0"/>
                <w:position w:val="-1"/>
                <w:sz w:val="16"/>
                <w:szCs w:val="16"/>
                <w:highlight w:val="none"/>
                <w:lang w:val="en-US" w:eastAsia="zh-CN"/>
              </w:rPr>
              <w:t>47.04</w:t>
            </w:r>
          </w:p>
        </w:tc>
        <w:tc>
          <w:tcPr>
            <w:tcW w:w="850" w:type="dxa"/>
            <w:tcBorders>
              <w:top w:val="dotted" w:color="auto" w:sz="4" w:space="0"/>
              <w:left w:val="dotted" w:color="auto" w:sz="4" w:space="0"/>
              <w:bottom w:val="dotted" w:color="auto" w:sz="4" w:space="0"/>
              <w:right w:val="dotted" w:color="auto" w:sz="4" w:space="0"/>
            </w:tcBorders>
            <w:noWrap/>
            <w:vAlign w:val="center"/>
          </w:tcPr>
          <w:p>
            <w:pPr>
              <w:jc w:val="center"/>
              <w:rPr>
                <w:sz w:val="18"/>
                <w:szCs w:val="18"/>
                <w:highlight w:val="none"/>
              </w:rPr>
            </w:pPr>
            <w:r>
              <w:rPr>
                <w:rFonts w:hint="eastAsia"/>
                <w:sz w:val="18"/>
                <w:szCs w:val="18"/>
                <w:highlight w:val="none"/>
              </w:rPr>
              <w:t>0</w:t>
            </w:r>
          </w:p>
        </w:tc>
        <w:tc>
          <w:tcPr>
            <w:tcW w:w="851" w:type="dxa"/>
            <w:tcBorders>
              <w:top w:val="dotted" w:color="auto" w:sz="4" w:space="0"/>
              <w:left w:val="dotted" w:color="auto" w:sz="4" w:space="0"/>
              <w:bottom w:val="dotted" w:color="auto" w:sz="4" w:space="0"/>
              <w:right w:val="dotted" w:color="auto" w:sz="4" w:space="0"/>
            </w:tcBorders>
            <w:noWrap/>
            <w:vAlign w:val="center"/>
          </w:tcPr>
          <w:p>
            <w:pPr>
              <w:jc w:val="center"/>
              <w:rPr>
                <w:rFonts w:ascii="宋体" w:hAnsi="宋体"/>
                <w:sz w:val="18"/>
                <w:szCs w:val="18"/>
                <w:highlight w:val="none"/>
              </w:rPr>
            </w:pPr>
            <w:r>
              <w:rPr>
                <w:rFonts w:hint="eastAsia" w:ascii="宋体" w:hAnsi="宋体"/>
                <w:sz w:val="18"/>
                <w:szCs w:val="18"/>
                <w:highlight w:val="none"/>
              </w:rPr>
              <w:t>0</w:t>
            </w:r>
          </w:p>
        </w:tc>
        <w:tc>
          <w:tcPr>
            <w:tcW w:w="1524" w:type="dxa"/>
            <w:tcBorders>
              <w:top w:val="dotted" w:color="auto" w:sz="4" w:space="0"/>
              <w:left w:val="dotted" w:color="auto" w:sz="4" w:space="0"/>
              <w:bottom w:val="dotted" w:color="auto" w:sz="4" w:space="0"/>
              <w:right w:val="nil"/>
            </w:tcBorders>
            <w:noWrap/>
            <w:vAlign w:val="center"/>
          </w:tcPr>
          <w:p>
            <w:pPr>
              <w:jc w:val="center"/>
              <w:rPr>
                <w:rFonts w:ascii="宋体" w:hAnsi="宋体" w:cs="宋体"/>
                <w:sz w:val="18"/>
                <w:szCs w:val="18"/>
                <w:highlight w:val="none"/>
              </w:rPr>
            </w:pPr>
          </w:p>
        </w:tc>
      </w:tr>
    </w:tbl>
    <w:p>
      <w:pPr>
        <w:adjustRightInd w:val="0"/>
        <w:snapToGrid w:val="0"/>
        <w:spacing w:before="156" w:beforeLines="50" w:line="460" w:lineRule="atLeast"/>
        <w:ind w:left="505"/>
        <w:outlineLvl w:val="0"/>
        <w:rPr>
          <w:rFonts w:ascii="宋体"/>
          <w:b/>
          <w:bCs/>
          <w:highlight w:val="none"/>
        </w:rPr>
      </w:pPr>
      <w:r>
        <w:rPr>
          <w:rFonts w:hint="eastAsia" w:ascii="宋体" w:hAnsi="宋体" w:cs="宋体"/>
          <w:b/>
          <w:bCs/>
          <w:highlight w:val="none"/>
        </w:rPr>
        <w:t>2.重大关联交易</w:t>
      </w:r>
    </w:p>
    <w:tbl>
      <w:tblPr>
        <w:tblStyle w:val="5"/>
        <w:tblW w:w="0" w:type="auto"/>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853"/>
        <w:gridCol w:w="1815"/>
        <w:gridCol w:w="1013"/>
        <w:gridCol w:w="1013"/>
        <w:gridCol w:w="1013"/>
        <w:gridCol w:w="101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1" w:hRule="exact"/>
          <w:tblHeader/>
        </w:trPr>
        <w:tc>
          <w:tcPr>
            <w:tcW w:w="2853" w:type="dxa"/>
            <w:tcBorders>
              <w:top w:val="single" w:color="auto" w:sz="12" w:space="0"/>
              <w:left w:val="nil"/>
              <w:bottom w:val="dotted" w:color="auto" w:sz="4" w:space="0"/>
              <w:right w:val="dotted" w:color="auto" w:sz="4" w:space="0"/>
            </w:tcBorders>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交易对象（贷款人）</w:t>
            </w:r>
          </w:p>
        </w:tc>
        <w:tc>
          <w:tcPr>
            <w:tcW w:w="1815" w:type="dxa"/>
            <w:tcBorders>
              <w:top w:val="single" w:color="auto" w:sz="12" w:space="0"/>
              <w:left w:val="dotted" w:color="auto" w:sz="4" w:space="0"/>
              <w:bottom w:val="dotted" w:color="auto" w:sz="4" w:space="0"/>
              <w:right w:val="dotted" w:color="auto" w:sz="4" w:space="0"/>
            </w:tcBorders>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关联关系</w:t>
            </w:r>
          </w:p>
        </w:tc>
        <w:tc>
          <w:tcPr>
            <w:tcW w:w="1013" w:type="dxa"/>
            <w:tcBorders>
              <w:top w:val="single" w:color="auto" w:sz="12" w:space="0"/>
              <w:left w:val="dotted" w:color="auto" w:sz="4" w:space="0"/>
              <w:bottom w:val="dotted" w:color="auto" w:sz="4" w:space="0"/>
              <w:right w:val="dotted" w:color="auto" w:sz="4" w:space="0"/>
            </w:tcBorders>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贷款余额（万元）</w:t>
            </w:r>
          </w:p>
        </w:tc>
        <w:tc>
          <w:tcPr>
            <w:tcW w:w="1013" w:type="dxa"/>
            <w:tcBorders>
              <w:top w:val="single" w:color="auto" w:sz="12" w:space="0"/>
              <w:left w:val="dotted" w:color="auto" w:sz="4" w:space="0"/>
              <w:bottom w:val="dotted" w:color="auto" w:sz="4" w:space="0"/>
              <w:right w:val="dotted" w:color="auto" w:sz="4" w:space="0"/>
            </w:tcBorders>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承兑余额</w:t>
            </w:r>
          </w:p>
        </w:tc>
        <w:tc>
          <w:tcPr>
            <w:tcW w:w="1013" w:type="dxa"/>
            <w:tcBorders>
              <w:top w:val="single" w:color="auto" w:sz="12" w:space="0"/>
              <w:left w:val="dotted" w:color="auto" w:sz="4" w:space="0"/>
              <w:bottom w:val="dotted" w:color="auto" w:sz="4" w:space="0"/>
              <w:right w:val="dotted" w:color="auto" w:sz="4" w:space="0"/>
            </w:tcBorders>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贴现余额</w:t>
            </w:r>
          </w:p>
        </w:tc>
        <w:tc>
          <w:tcPr>
            <w:tcW w:w="1013" w:type="dxa"/>
            <w:tcBorders>
              <w:top w:val="single" w:color="auto" w:sz="12" w:space="0"/>
              <w:left w:val="dotted" w:color="auto" w:sz="4" w:space="0"/>
              <w:bottom w:val="dotted" w:color="auto" w:sz="4" w:space="0"/>
              <w:right w:val="nil"/>
            </w:tcBorders>
            <w:vAlign w:val="center"/>
          </w:tcPr>
          <w:p>
            <w:pPr>
              <w:snapToGrid w:val="0"/>
              <w:jc w:val="center"/>
              <w:outlineLvl w:val="0"/>
              <w:rPr>
                <w:rFonts w:ascii="宋体" w:hAnsi="宋体" w:cs="宋体"/>
                <w:kern w:val="0"/>
                <w:position w:val="-1"/>
                <w:sz w:val="16"/>
                <w:szCs w:val="16"/>
                <w:highlight w:val="none"/>
              </w:rPr>
            </w:pPr>
            <w:r>
              <w:rPr>
                <w:rFonts w:hint="eastAsia" w:ascii="宋体" w:hAnsi="宋体" w:cs="宋体"/>
                <w:kern w:val="0"/>
                <w:position w:val="-1"/>
                <w:sz w:val="16"/>
                <w:szCs w:val="16"/>
                <w:highlight w:val="none"/>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35" w:hRule="exact"/>
        </w:trPr>
        <w:tc>
          <w:tcPr>
            <w:tcW w:w="2853" w:type="dxa"/>
            <w:tcBorders>
              <w:top w:val="dotted" w:color="auto" w:sz="4" w:space="0"/>
              <w:left w:val="nil"/>
              <w:bottom w:val="dotted" w:color="auto" w:sz="4" w:space="0"/>
              <w:right w:val="dotted" w:color="auto" w:sz="4" w:space="0"/>
            </w:tcBorders>
            <w:vAlign w:val="center"/>
          </w:tcPr>
          <w:p>
            <w:pPr>
              <w:widowControl/>
              <w:jc w:val="center"/>
              <w:textAlignment w:val="center"/>
              <w:rPr>
                <w:rFonts w:eastAsia="仿宋_GB2312"/>
                <w:bCs/>
                <w:kern w:val="0"/>
                <w:sz w:val="18"/>
                <w:szCs w:val="18"/>
                <w:highlight w:val="none"/>
              </w:rPr>
            </w:pPr>
            <w:r>
              <w:rPr>
                <w:rFonts w:hint="eastAsia" w:eastAsia="仿宋_GB2312"/>
                <w:bCs/>
                <w:kern w:val="0"/>
                <w:sz w:val="18"/>
                <w:szCs w:val="18"/>
                <w:highlight w:val="none"/>
              </w:rPr>
              <w:t>无</w:t>
            </w:r>
          </w:p>
        </w:tc>
        <w:tc>
          <w:tcPr>
            <w:tcW w:w="1815" w:type="dxa"/>
            <w:tcBorders>
              <w:top w:val="dotted" w:color="auto" w:sz="4" w:space="0"/>
              <w:left w:val="dotted" w:color="auto" w:sz="4" w:space="0"/>
              <w:bottom w:val="dotted" w:color="auto" w:sz="4" w:space="0"/>
              <w:right w:val="dotted" w:color="auto" w:sz="4" w:space="0"/>
            </w:tcBorders>
            <w:vAlign w:val="center"/>
          </w:tcPr>
          <w:p>
            <w:pPr>
              <w:widowControl/>
              <w:jc w:val="center"/>
              <w:textAlignment w:val="center"/>
              <w:rPr>
                <w:sz w:val="18"/>
                <w:szCs w:val="18"/>
                <w:highlight w:val="none"/>
              </w:rPr>
            </w:pPr>
            <w:r>
              <w:rPr>
                <w:rFonts w:hint="eastAsia"/>
                <w:sz w:val="18"/>
                <w:szCs w:val="18"/>
                <w:highlight w:val="none"/>
              </w:rPr>
              <w:t>无</w:t>
            </w:r>
          </w:p>
        </w:tc>
        <w:tc>
          <w:tcPr>
            <w:tcW w:w="1013" w:type="dxa"/>
            <w:tcBorders>
              <w:top w:val="dotted" w:color="auto" w:sz="4" w:space="0"/>
              <w:left w:val="dotted" w:color="auto" w:sz="4" w:space="0"/>
              <w:bottom w:val="dotted" w:color="auto" w:sz="4" w:space="0"/>
              <w:right w:val="dotted" w:color="auto" w:sz="4" w:space="0"/>
            </w:tcBorders>
            <w:vAlign w:val="center"/>
          </w:tcPr>
          <w:p>
            <w:pPr>
              <w:widowControl/>
              <w:jc w:val="center"/>
              <w:textAlignment w:val="center"/>
              <w:rPr>
                <w:sz w:val="18"/>
                <w:szCs w:val="18"/>
                <w:highlight w:val="none"/>
              </w:rPr>
            </w:pPr>
            <w:r>
              <w:rPr>
                <w:rFonts w:hint="eastAsia"/>
                <w:kern w:val="0"/>
                <w:sz w:val="18"/>
                <w:szCs w:val="18"/>
                <w:highlight w:val="none"/>
              </w:rPr>
              <w:t>0</w:t>
            </w:r>
          </w:p>
        </w:tc>
        <w:tc>
          <w:tcPr>
            <w:tcW w:w="1013" w:type="dxa"/>
            <w:tcBorders>
              <w:top w:val="dotted" w:color="auto" w:sz="4" w:space="0"/>
              <w:left w:val="dotted" w:color="auto" w:sz="4" w:space="0"/>
              <w:bottom w:val="dotted" w:color="auto" w:sz="4" w:space="0"/>
              <w:right w:val="dotted" w:color="auto" w:sz="4" w:space="0"/>
            </w:tcBorders>
            <w:vAlign w:val="center"/>
          </w:tcPr>
          <w:p>
            <w:pPr>
              <w:snapToGrid w:val="0"/>
              <w:jc w:val="center"/>
              <w:outlineLvl w:val="0"/>
              <w:rPr>
                <w:sz w:val="18"/>
                <w:szCs w:val="18"/>
                <w:highlight w:val="none"/>
              </w:rPr>
            </w:pPr>
            <w:r>
              <w:rPr>
                <w:rFonts w:hint="eastAsia" w:ascii="宋体" w:hAnsi="宋体" w:cs="宋体"/>
                <w:kern w:val="0"/>
                <w:position w:val="-1"/>
                <w:sz w:val="16"/>
                <w:szCs w:val="16"/>
                <w:highlight w:val="none"/>
              </w:rPr>
              <w:t>0</w:t>
            </w:r>
          </w:p>
        </w:tc>
        <w:tc>
          <w:tcPr>
            <w:tcW w:w="1013" w:type="dxa"/>
            <w:tcBorders>
              <w:top w:val="dotted" w:color="auto" w:sz="4" w:space="0"/>
              <w:left w:val="dotted" w:color="auto" w:sz="4" w:space="0"/>
              <w:bottom w:val="dotted" w:color="auto" w:sz="4" w:space="0"/>
              <w:right w:val="dotted" w:color="auto" w:sz="4" w:space="0"/>
            </w:tcBorders>
            <w:vAlign w:val="center"/>
          </w:tcPr>
          <w:p>
            <w:pPr>
              <w:snapToGrid w:val="0"/>
              <w:jc w:val="center"/>
              <w:outlineLvl w:val="0"/>
              <w:rPr>
                <w:rFonts w:ascii="宋体" w:hAnsi="宋体"/>
                <w:sz w:val="18"/>
                <w:szCs w:val="18"/>
                <w:highlight w:val="none"/>
              </w:rPr>
            </w:pPr>
            <w:r>
              <w:rPr>
                <w:rFonts w:hint="eastAsia" w:ascii="宋体" w:hAnsi="宋体" w:cs="宋体"/>
                <w:kern w:val="0"/>
                <w:position w:val="-1"/>
                <w:sz w:val="16"/>
                <w:szCs w:val="16"/>
                <w:highlight w:val="none"/>
              </w:rPr>
              <w:t>0</w:t>
            </w:r>
          </w:p>
        </w:tc>
        <w:tc>
          <w:tcPr>
            <w:tcW w:w="1013" w:type="dxa"/>
            <w:tcBorders>
              <w:top w:val="dotted" w:color="auto" w:sz="4" w:space="0"/>
              <w:left w:val="dotted" w:color="auto" w:sz="4" w:space="0"/>
              <w:bottom w:val="dotted" w:color="auto" w:sz="4" w:space="0"/>
              <w:right w:val="nil"/>
            </w:tcBorders>
            <w:vAlign w:val="center"/>
          </w:tcPr>
          <w:p>
            <w:pPr>
              <w:jc w:val="center"/>
              <w:rPr>
                <w:rFonts w:ascii="宋体" w:hAnsi="宋体" w:cs="宋体"/>
                <w:sz w:val="18"/>
                <w:szCs w:val="18"/>
                <w:highlight w:val="none"/>
              </w:rPr>
            </w:pPr>
            <w:r>
              <w:rPr>
                <w:rFonts w:hint="eastAsia" w:ascii="宋体" w:hAnsi="宋体"/>
                <w:sz w:val="18"/>
                <w:szCs w:val="18"/>
                <w:highlight w:val="none"/>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32" w:hRule="exact"/>
        </w:trPr>
        <w:tc>
          <w:tcPr>
            <w:tcW w:w="2853" w:type="dxa"/>
            <w:tcBorders>
              <w:top w:val="dotted" w:color="auto" w:sz="4" w:space="0"/>
              <w:left w:val="nil"/>
              <w:bottom w:val="single" w:color="auto" w:sz="12" w:space="0"/>
              <w:right w:val="dotted" w:color="auto" w:sz="4" w:space="0"/>
            </w:tcBorders>
            <w:vAlign w:val="center"/>
          </w:tcPr>
          <w:p>
            <w:pPr>
              <w:widowControl/>
              <w:jc w:val="center"/>
              <w:textAlignment w:val="center"/>
              <w:rPr>
                <w:rFonts w:eastAsia="仿宋_GB2312"/>
                <w:bCs/>
                <w:kern w:val="0"/>
                <w:szCs w:val="21"/>
                <w:highlight w:val="none"/>
              </w:rPr>
            </w:pPr>
            <w:r>
              <w:rPr>
                <w:rFonts w:hint="eastAsia" w:ascii="宋体" w:hAnsi="宋体" w:cs="宋体"/>
                <w:kern w:val="0"/>
                <w:sz w:val="18"/>
                <w:szCs w:val="18"/>
                <w:highlight w:val="none"/>
              </w:rPr>
              <w:t>合计</w:t>
            </w:r>
          </w:p>
        </w:tc>
        <w:tc>
          <w:tcPr>
            <w:tcW w:w="1815" w:type="dxa"/>
            <w:tcBorders>
              <w:top w:val="dotted" w:color="auto" w:sz="4" w:space="0"/>
              <w:left w:val="dotted" w:color="auto" w:sz="4" w:space="0"/>
              <w:bottom w:val="single" w:color="auto" w:sz="12" w:space="0"/>
              <w:right w:val="dotted" w:color="auto" w:sz="4" w:space="0"/>
            </w:tcBorders>
            <w:vAlign w:val="center"/>
          </w:tcPr>
          <w:p>
            <w:pPr>
              <w:jc w:val="right"/>
              <w:rPr>
                <w:sz w:val="18"/>
                <w:szCs w:val="18"/>
                <w:highlight w:val="none"/>
              </w:rPr>
            </w:pPr>
          </w:p>
        </w:tc>
        <w:tc>
          <w:tcPr>
            <w:tcW w:w="1013" w:type="dxa"/>
            <w:tcBorders>
              <w:top w:val="dotted" w:color="auto" w:sz="4" w:space="0"/>
              <w:left w:val="dotted" w:color="auto" w:sz="4" w:space="0"/>
              <w:bottom w:val="single" w:color="auto" w:sz="12" w:space="0"/>
              <w:right w:val="dotted" w:color="auto" w:sz="4" w:space="0"/>
            </w:tcBorders>
          </w:tcPr>
          <w:p>
            <w:pPr>
              <w:widowControl/>
              <w:jc w:val="center"/>
              <w:textAlignment w:val="top"/>
              <w:rPr>
                <w:sz w:val="18"/>
                <w:szCs w:val="18"/>
                <w:highlight w:val="none"/>
              </w:rPr>
            </w:pPr>
            <w:r>
              <w:rPr>
                <w:rFonts w:hint="eastAsia"/>
                <w:kern w:val="0"/>
                <w:sz w:val="18"/>
                <w:szCs w:val="18"/>
                <w:highlight w:val="none"/>
              </w:rPr>
              <w:t>0</w:t>
            </w:r>
          </w:p>
        </w:tc>
        <w:tc>
          <w:tcPr>
            <w:tcW w:w="1013" w:type="dxa"/>
            <w:tcBorders>
              <w:top w:val="dotted" w:color="auto" w:sz="4" w:space="0"/>
              <w:left w:val="dotted" w:color="auto" w:sz="4" w:space="0"/>
              <w:bottom w:val="single" w:color="auto" w:sz="12" w:space="0"/>
              <w:right w:val="dotted" w:color="auto" w:sz="4" w:space="0"/>
            </w:tcBorders>
            <w:vAlign w:val="center"/>
          </w:tcPr>
          <w:p>
            <w:pPr>
              <w:snapToGrid w:val="0"/>
              <w:jc w:val="center"/>
              <w:outlineLvl w:val="0"/>
              <w:rPr>
                <w:sz w:val="18"/>
                <w:szCs w:val="18"/>
                <w:highlight w:val="none"/>
              </w:rPr>
            </w:pPr>
            <w:r>
              <w:rPr>
                <w:rFonts w:hint="eastAsia" w:ascii="宋体" w:hAnsi="宋体" w:cs="宋体"/>
                <w:kern w:val="0"/>
                <w:position w:val="-1"/>
                <w:sz w:val="16"/>
                <w:szCs w:val="16"/>
                <w:highlight w:val="none"/>
              </w:rPr>
              <w:t>0</w:t>
            </w:r>
          </w:p>
        </w:tc>
        <w:tc>
          <w:tcPr>
            <w:tcW w:w="1013" w:type="dxa"/>
            <w:tcBorders>
              <w:top w:val="dotted" w:color="auto" w:sz="4" w:space="0"/>
              <w:left w:val="dotted" w:color="auto" w:sz="4" w:space="0"/>
              <w:bottom w:val="single" w:color="auto" w:sz="12" w:space="0"/>
              <w:right w:val="dotted" w:color="auto" w:sz="4" w:space="0"/>
            </w:tcBorders>
            <w:vAlign w:val="center"/>
          </w:tcPr>
          <w:p>
            <w:pPr>
              <w:snapToGrid w:val="0"/>
              <w:jc w:val="center"/>
              <w:outlineLvl w:val="0"/>
              <w:rPr>
                <w:rFonts w:ascii="宋体" w:hAnsi="宋体"/>
                <w:sz w:val="18"/>
                <w:szCs w:val="18"/>
                <w:highlight w:val="none"/>
              </w:rPr>
            </w:pPr>
            <w:r>
              <w:rPr>
                <w:rFonts w:hint="eastAsia" w:ascii="宋体" w:hAnsi="宋体" w:cs="宋体"/>
                <w:kern w:val="0"/>
                <w:position w:val="-1"/>
                <w:sz w:val="16"/>
                <w:szCs w:val="16"/>
                <w:highlight w:val="none"/>
              </w:rPr>
              <w:t>0</w:t>
            </w:r>
          </w:p>
        </w:tc>
        <w:tc>
          <w:tcPr>
            <w:tcW w:w="1013" w:type="dxa"/>
            <w:tcBorders>
              <w:top w:val="dotted" w:color="auto" w:sz="4" w:space="0"/>
              <w:left w:val="dotted" w:color="auto" w:sz="4" w:space="0"/>
              <w:bottom w:val="single" w:color="auto" w:sz="12" w:space="0"/>
              <w:right w:val="nil"/>
            </w:tcBorders>
            <w:vAlign w:val="center"/>
          </w:tcPr>
          <w:p>
            <w:pPr>
              <w:jc w:val="center"/>
              <w:rPr>
                <w:rFonts w:ascii="宋体" w:hAnsi="宋体"/>
                <w:sz w:val="18"/>
                <w:szCs w:val="18"/>
                <w:highlight w:val="none"/>
              </w:rPr>
            </w:pPr>
          </w:p>
        </w:tc>
      </w:tr>
    </w:tbl>
    <w:p>
      <w:pPr>
        <w:adjustRightInd w:val="0"/>
        <w:snapToGrid w:val="0"/>
        <w:spacing w:line="360" w:lineRule="atLeast"/>
        <w:ind w:firstLine="320" w:firstLineChars="200"/>
        <w:rPr>
          <w:rFonts w:ascii="宋体"/>
          <w:color w:val="FF0000"/>
          <w:sz w:val="16"/>
          <w:szCs w:val="16"/>
          <w:highlight w:val="none"/>
        </w:rPr>
      </w:pPr>
    </w:p>
    <w:p>
      <w:pPr>
        <w:spacing w:line="540" w:lineRule="exact"/>
        <w:ind w:firstLine="643" w:firstLineChars="200"/>
        <w:rPr>
          <w:rFonts w:ascii="仿宋_GB2312" w:hAnsi="黑体" w:eastAsia="仿宋_GB2312" w:cs="黑体"/>
          <w:b/>
          <w:sz w:val="32"/>
          <w:szCs w:val="32"/>
          <w:highlight w:val="none"/>
        </w:rPr>
      </w:pPr>
      <w:r>
        <w:rPr>
          <w:rFonts w:hint="eastAsia" w:ascii="仿宋_GB2312" w:hAnsi="黑体" w:eastAsia="仿宋_GB2312" w:cs="黑体"/>
          <w:b/>
          <w:sz w:val="32"/>
          <w:szCs w:val="32"/>
          <w:highlight w:val="none"/>
        </w:rPr>
        <w:t>五、关联贷款集中度风险控制情况</w:t>
      </w:r>
    </w:p>
    <w:p>
      <w:pPr>
        <w:spacing w:line="540" w:lineRule="exact"/>
        <w:ind w:firstLine="640" w:firstLineChars="200"/>
        <w:rPr>
          <w:rFonts w:ascii="仿宋_GB2312" w:eastAsia="仿宋_GB2312"/>
          <w:color w:val="FF0000"/>
          <w:sz w:val="32"/>
          <w:szCs w:val="32"/>
          <w:highlight w:val="none"/>
        </w:rPr>
      </w:pPr>
      <w:r>
        <w:rPr>
          <w:rFonts w:hint="eastAsia" w:ascii="仿宋_GB2312" w:eastAsia="仿宋_GB2312"/>
          <w:sz w:val="32"/>
          <w:szCs w:val="32"/>
          <w:highlight w:val="none"/>
        </w:rPr>
        <w:t>2025年，本行未新增关联贷款，目前剩余2笔关联贷款为存量内部员工及其亲属向我行申请的贷款，五级分类均为正常类。</w:t>
      </w:r>
    </w:p>
    <w:p>
      <w:pPr>
        <w:spacing w:line="540" w:lineRule="exact"/>
        <w:ind w:firstLine="643" w:firstLineChars="200"/>
        <w:rPr>
          <w:rFonts w:ascii="仿宋_GB2312" w:hAnsi="黑体" w:eastAsia="仿宋_GB2312" w:cs="黑体"/>
          <w:b/>
          <w:sz w:val="32"/>
          <w:szCs w:val="32"/>
          <w:highlight w:val="none"/>
        </w:rPr>
      </w:pPr>
      <w:r>
        <w:rPr>
          <w:rFonts w:hint="eastAsia" w:ascii="仿宋_GB2312" w:hAnsi="黑体" w:eastAsia="仿宋_GB2312" w:cs="黑体"/>
          <w:b/>
          <w:sz w:val="32"/>
          <w:szCs w:val="32"/>
          <w:highlight w:val="none"/>
        </w:rPr>
        <w:t>六、与主发起行及其子银行的主要交易</w:t>
      </w:r>
    </w:p>
    <w:p>
      <w:pPr>
        <w:spacing w:line="540" w:lineRule="exact"/>
        <w:ind w:firstLine="640" w:firstLineChars="200"/>
        <w:rPr>
          <w:rFonts w:ascii="仿宋_GB2312" w:hAnsi="黑体" w:eastAsia="仿宋_GB2312" w:cs="黑体"/>
          <w:b/>
          <w:sz w:val="32"/>
          <w:szCs w:val="32"/>
          <w:highlight w:val="none"/>
        </w:rPr>
      </w:pPr>
      <w:r>
        <w:rPr>
          <w:rFonts w:hint="eastAsia" w:ascii="仿宋_GB2312" w:eastAsia="仿宋_GB2312"/>
          <w:sz w:val="32"/>
          <w:szCs w:val="32"/>
          <w:highlight w:val="none"/>
        </w:rPr>
        <w:t>2025年末，本行存放主发起行及其子银行同业款项余额5415万元,应收利息21.05万元,全年实现关</w:t>
      </w:r>
      <w:bookmarkStart w:id="0" w:name="_GoBack"/>
      <w:bookmarkEnd w:id="0"/>
      <w:r>
        <w:rPr>
          <w:rFonts w:hint="eastAsia" w:ascii="仿宋_GB2312" w:eastAsia="仿宋_GB2312"/>
          <w:sz w:val="32"/>
          <w:szCs w:val="32"/>
          <w:highlight w:val="none"/>
        </w:rPr>
        <w:t>联交易利息收入132.98万元。</w:t>
      </w:r>
    </w:p>
    <w:p>
      <w:pPr>
        <w:ind w:firstLine="627" w:firstLineChars="196"/>
        <w:rPr>
          <w:rFonts w:ascii="仿宋_GB2312" w:eastAsia="仿宋_GB2312"/>
          <w:sz w:val="32"/>
          <w:szCs w:val="32"/>
          <w:highlight w:val="none"/>
        </w:rPr>
      </w:pPr>
      <w:r>
        <w:rPr>
          <w:rFonts w:hint="eastAsia" w:ascii="仿宋_GB2312" w:eastAsia="仿宋_GB2312"/>
          <w:sz w:val="32"/>
          <w:szCs w:val="32"/>
          <w:highlight w:val="none"/>
        </w:rPr>
        <w:t>2025年末，吸收主发起行及其子银行同业存款余额0万元，应付利息0万元，全年关联交易利息支出0万元。</w:t>
      </w:r>
    </w:p>
    <w:p>
      <w:pPr>
        <w:ind w:firstLine="627" w:firstLineChars="196"/>
        <w:rPr>
          <w:rFonts w:ascii="仿宋_GB2312" w:eastAsia="仿宋_GB2312"/>
          <w:sz w:val="32"/>
          <w:szCs w:val="32"/>
          <w:highlight w:val="none"/>
        </w:rPr>
      </w:pPr>
      <w:r>
        <w:rPr>
          <w:rFonts w:hint="eastAsia" w:ascii="仿宋_GB2312" w:eastAsia="仿宋_GB2312"/>
          <w:sz w:val="32"/>
          <w:szCs w:val="32"/>
          <w:highlight w:val="none"/>
        </w:rPr>
        <w:t>2025年，本行应支付主发起行管理服务费65万元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短信费7.61万元</w:t>
      </w:r>
      <w:r>
        <w:rPr>
          <w:rFonts w:hint="eastAsia" w:ascii="仿宋_GB2312" w:eastAsia="仿宋_GB2312"/>
          <w:sz w:val="32"/>
          <w:szCs w:val="32"/>
          <w:highlight w:val="none"/>
        </w:rPr>
        <w:t>。</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7B"/>
    <w:rsid w:val="00305BB2"/>
    <w:rsid w:val="003F2994"/>
    <w:rsid w:val="006B6F7B"/>
    <w:rsid w:val="00C403F2"/>
    <w:rsid w:val="00F8400E"/>
    <w:rsid w:val="00F92B9A"/>
    <w:rsid w:val="011121CD"/>
    <w:rsid w:val="0D395B32"/>
    <w:rsid w:val="1D65301C"/>
    <w:rsid w:val="20E864B3"/>
    <w:rsid w:val="23512E24"/>
    <w:rsid w:val="262801D9"/>
    <w:rsid w:val="2ADF5EA8"/>
    <w:rsid w:val="3AF61300"/>
    <w:rsid w:val="3CC36DCD"/>
    <w:rsid w:val="3E8A248B"/>
    <w:rsid w:val="426F58C8"/>
    <w:rsid w:val="48716A61"/>
    <w:rsid w:val="4C8D3147"/>
    <w:rsid w:val="53812AC8"/>
    <w:rsid w:val="54286A75"/>
    <w:rsid w:val="5DBB2985"/>
    <w:rsid w:val="66765975"/>
    <w:rsid w:val="6B4C26F3"/>
    <w:rsid w:val="7080090B"/>
    <w:rsid w:val="776A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adjustRightInd w:val="0"/>
      <w:snapToGrid w:val="0"/>
      <w:spacing w:line="580" w:lineRule="exact"/>
      <w:ind w:firstLine="640" w:firstLineChars="200"/>
    </w:pPr>
    <w:rPr>
      <w:rFonts w:ascii="仿宋_GB2312" w:hAnsi="Times New Roman" w:eastAsia="仿宋_GB2312"/>
      <w:sz w:val="32"/>
      <w:szCs w:val="32"/>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qFormat/>
    <w:uiPriority w:val="0"/>
    <w:rPr>
      <w:b/>
    </w:rPr>
  </w:style>
  <w:style w:type="character" w:styleId="8">
    <w:name w:val="Hyperlink"/>
    <w:qFormat/>
    <w:uiPriority w:val="99"/>
    <w:rPr>
      <w:color w:val="0000FF"/>
      <w:u w:val="singl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中国中铁</Company>
  <Pages>4</Pages>
  <Words>1571</Words>
  <Characters>1659</Characters>
  <Lines>12</Lines>
  <Paragraphs>3</Paragraphs>
  <TotalTime>30</TotalTime>
  <ScaleCrop>false</ScaleCrop>
  <LinksUpToDate>false</LinksUpToDate>
  <CharactersWithSpaces>1665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2025-05-27T10:27:00Z</dcterms:created>
  <dc:creator>Administrator</dc:creator>
  <cp:lastModifiedBy>蒋桂琼</cp:lastModifiedBy>
  <dcterms:modified xsi:type="dcterms:W3CDTF">2026-05-27T08:55:26Z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492A892B9A8147B09EAC3549B7C24551</vt:lpwstr>
  </property>
</Properties>
</file>